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415" w:rsidRPr="005C1507" w:rsidRDefault="00415415" w:rsidP="00415415">
      <w:pPr>
        <w:jc w:val="center"/>
        <w:rPr>
          <w:rFonts w:ascii="Times New Roman" w:hAnsi="Times New Roman" w:cs="Times New Roman"/>
          <w:b/>
          <w:sz w:val="28"/>
          <w:szCs w:val="28"/>
        </w:rPr>
      </w:pPr>
      <w:bookmarkStart w:id="0" w:name="_Toc63104279"/>
      <w:r w:rsidRPr="005C1507">
        <w:rPr>
          <w:rFonts w:ascii="Times New Roman" w:hAnsi="Times New Roman" w:cs="Times New Roman"/>
          <w:b/>
          <w:bCs/>
          <w:color w:val="000000"/>
          <w:sz w:val="28"/>
          <w:szCs w:val="28"/>
        </w:rPr>
        <w:t>КОНТРОЛЬНО-СЧЕТНАЯ ПАЛАТА ГОРОДА КУРСКА</w:t>
      </w:r>
    </w:p>
    <w:p w:rsidR="00415415" w:rsidRDefault="00415415" w:rsidP="00415415">
      <w:pPr>
        <w:jc w:val="center"/>
        <w:rPr>
          <w:sz w:val="28"/>
          <w:szCs w:val="28"/>
        </w:rPr>
      </w:pPr>
    </w:p>
    <w:p w:rsidR="00415415" w:rsidRDefault="00415415" w:rsidP="00415415">
      <w:pPr>
        <w:jc w:val="center"/>
        <w:rPr>
          <w:sz w:val="28"/>
          <w:szCs w:val="28"/>
        </w:rPr>
      </w:pPr>
    </w:p>
    <w:p w:rsidR="00415415" w:rsidRDefault="00415415" w:rsidP="00415415">
      <w:pPr>
        <w:jc w:val="center"/>
        <w:rPr>
          <w:sz w:val="28"/>
          <w:szCs w:val="28"/>
        </w:rPr>
      </w:pPr>
    </w:p>
    <w:p w:rsidR="00415415" w:rsidRDefault="00415415" w:rsidP="00415415">
      <w:pPr>
        <w:jc w:val="center"/>
        <w:rPr>
          <w:sz w:val="28"/>
          <w:szCs w:val="28"/>
        </w:rPr>
      </w:pPr>
    </w:p>
    <w:p w:rsidR="00415415" w:rsidRDefault="00415415" w:rsidP="00415415">
      <w:pPr>
        <w:jc w:val="center"/>
        <w:rPr>
          <w:sz w:val="28"/>
          <w:szCs w:val="28"/>
        </w:rPr>
      </w:pPr>
    </w:p>
    <w:p w:rsidR="00415415" w:rsidRDefault="00415415" w:rsidP="00415415">
      <w:pPr>
        <w:jc w:val="center"/>
        <w:rPr>
          <w:sz w:val="28"/>
          <w:szCs w:val="28"/>
        </w:rPr>
      </w:pPr>
    </w:p>
    <w:p w:rsidR="00801F70" w:rsidRDefault="00415415" w:rsidP="00415415">
      <w:pPr>
        <w:pStyle w:val="a6"/>
        <w:jc w:val="center"/>
        <w:rPr>
          <w:rFonts w:ascii="Times New Roman" w:hAnsi="Times New Roman" w:cs="Times New Roman"/>
          <w:b/>
          <w:sz w:val="28"/>
          <w:szCs w:val="28"/>
        </w:rPr>
      </w:pPr>
      <w:r w:rsidRPr="00415415">
        <w:rPr>
          <w:rFonts w:ascii="Times New Roman" w:hAnsi="Times New Roman" w:cs="Times New Roman"/>
          <w:b/>
          <w:sz w:val="28"/>
          <w:szCs w:val="28"/>
        </w:rPr>
        <w:t xml:space="preserve">Методические рекомендации </w:t>
      </w:r>
    </w:p>
    <w:p w:rsidR="00415415" w:rsidRPr="00415415" w:rsidRDefault="00415415" w:rsidP="00415415">
      <w:pPr>
        <w:pStyle w:val="a6"/>
        <w:jc w:val="center"/>
        <w:rPr>
          <w:rFonts w:ascii="Times New Roman" w:hAnsi="Times New Roman"/>
          <w:b/>
          <w:bCs/>
          <w:sz w:val="28"/>
          <w:szCs w:val="28"/>
        </w:rPr>
      </w:pPr>
      <w:r w:rsidRPr="00415415">
        <w:rPr>
          <w:rFonts w:ascii="Times New Roman" w:hAnsi="Times New Roman"/>
          <w:b/>
          <w:bCs/>
          <w:sz w:val="28"/>
          <w:szCs w:val="28"/>
        </w:rPr>
        <w:t>«Оценка существенности и рисков</w:t>
      </w:r>
      <w:r w:rsidR="00801F70">
        <w:rPr>
          <w:rFonts w:ascii="Times New Roman" w:hAnsi="Times New Roman"/>
          <w:b/>
          <w:bCs/>
          <w:sz w:val="28"/>
          <w:szCs w:val="28"/>
        </w:rPr>
        <w:t xml:space="preserve"> </w:t>
      </w:r>
      <w:r w:rsidRPr="00415415">
        <w:rPr>
          <w:rFonts w:ascii="Times New Roman" w:hAnsi="Times New Roman"/>
          <w:b/>
          <w:bCs/>
          <w:sz w:val="28"/>
          <w:szCs w:val="28"/>
        </w:rPr>
        <w:t>в ходе контрольных мероприятий»</w:t>
      </w:r>
    </w:p>
    <w:p w:rsidR="00415415" w:rsidRPr="005C1507" w:rsidRDefault="00415415" w:rsidP="00415415">
      <w:pPr>
        <w:pStyle w:val="a6"/>
        <w:jc w:val="center"/>
        <w:rPr>
          <w:rFonts w:ascii="Times New Roman" w:hAnsi="Times New Roman" w:cs="Times New Roman"/>
          <w:sz w:val="28"/>
          <w:szCs w:val="28"/>
        </w:rPr>
      </w:pPr>
      <w:r w:rsidRPr="00B87505">
        <w:rPr>
          <w:rFonts w:ascii="Times New Roman" w:hAnsi="Times New Roman" w:cs="Times New Roman"/>
          <w:b/>
          <w:sz w:val="28"/>
          <w:szCs w:val="28"/>
        </w:rPr>
        <w:t xml:space="preserve"> </w:t>
      </w:r>
      <w:r w:rsidRPr="005C1507">
        <w:rPr>
          <w:rFonts w:ascii="Times New Roman" w:hAnsi="Times New Roman" w:cs="Times New Roman"/>
          <w:sz w:val="28"/>
          <w:szCs w:val="28"/>
        </w:rPr>
        <w:t>(утверждены постановлением Контрольно-счетной палаты города Курска</w:t>
      </w:r>
    </w:p>
    <w:p w:rsidR="00415415" w:rsidRPr="005C1507" w:rsidRDefault="006458C5" w:rsidP="00415415">
      <w:pPr>
        <w:pStyle w:val="a6"/>
        <w:jc w:val="center"/>
        <w:rPr>
          <w:rFonts w:ascii="Times New Roman" w:hAnsi="Times New Roman" w:cs="Times New Roman"/>
          <w:sz w:val="28"/>
          <w:szCs w:val="28"/>
        </w:rPr>
      </w:pPr>
      <w:r>
        <w:rPr>
          <w:rFonts w:ascii="Times New Roman" w:hAnsi="Times New Roman" w:cs="Times New Roman"/>
          <w:sz w:val="28"/>
          <w:szCs w:val="28"/>
        </w:rPr>
        <w:t>о</w:t>
      </w:r>
      <w:r w:rsidR="00415415" w:rsidRPr="005C1507">
        <w:rPr>
          <w:rFonts w:ascii="Times New Roman" w:hAnsi="Times New Roman" w:cs="Times New Roman"/>
          <w:sz w:val="28"/>
          <w:szCs w:val="28"/>
        </w:rPr>
        <w:t>т</w:t>
      </w:r>
      <w:r>
        <w:rPr>
          <w:rFonts w:ascii="Times New Roman" w:hAnsi="Times New Roman" w:cs="Times New Roman"/>
          <w:sz w:val="28"/>
          <w:szCs w:val="28"/>
        </w:rPr>
        <w:t xml:space="preserve"> 19.12.2024 №43</w:t>
      </w:r>
      <w:r w:rsidR="00415415">
        <w:rPr>
          <w:rFonts w:ascii="Times New Roman" w:hAnsi="Times New Roman" w:cs="Times New Roman"/>
          <w:sz w:val="28"/>
          <w:szCs w:val="28"/>
        </w:rPr>
        <w:t xml:space="preserve">, </w:t>
      </w:r>
      <w:r w:rsidR="00415415" w:rsidRPr="005C1507">
        <w:rPr>
          <w:rFonts w:ascii="Times New Roman" w:hAnsi="Times New Roman" w:cs="Times New Roman"/>
          <w:sz w:val="28"/>
          <w:szCs w:val="28"/>
        </w:rPr>
        <w:t xml:space="preserve">рассмотрены и согласованы Коллегией Контрольно-счетной палаты города Курска </w:t>
      </w:r>
      <w:r>
        <w:rPr>
          <w:rFonts w:ascii="Times New Roman" w:hAnsi="Times New Roman" w:cs="Times New Roman"/>
          <w:sz w:val="28"/>
          <w:szCs w:val="28"/>
        </w:rPr>
        <w:t>18</w:t>
      </w:r>
      <w:r w:rsidR="00415415" w:rsidRPr="005C1507">
        <w:rPr>
          <w:rFonts w:ascii="Times New Roman" w:hAnsi="Times New Roman" w:cs="Times New Roman"/>
          <w:sz w:val="28"/>
          <w:szCs w:val="28"/>
        </w:rPr>
        <w:t>.</w:t>
      </w:r>
      <w:r>
        <w:rPr>
          <w:rFonts w:ascii="Times New Roman" w:hAnsi="Times New Roman" w:cs="Times New Roman"/>
          <w:sz w:val="28"/>
          <w:szCs w:val="28"/>
        </w:rPr>
        <w:t>12</w:t>
      </w:r>
      <w:r w:rsidR="00415415" w:rsidRPr="005C1507">
        <w:rPr>
          <w:rFonts w:ascii="Times New Roman" w:hAnsi="Times New Roman" w:cs="Times New Roman"/>
          <w:sz w:val="28"/>
          <w:szCs w:val="28"/>
        </w:rPr>
        <w:t>.2024)</w:t>
      </w:r>
    </w:p>
    <w:p w:rsidR="00415415" w:rsidRPr="005C1507" w:rsidRDefault="00415415" w:rsidP="00415415">
      <w:pPr>
        <w:pStyle w:val="a6"/>
        <w:jc w:val="both"/>
        <w:rPr>
          <w:rFonts w:ascii="Times New Roman" w:hAnsi="Times New Roman" w:cs="Times New Roman"/>
          <w:b/>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b/>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sz w:val="28"/>
          <w:szCs w:val="28"/>
        </w:rPr>
      </w:pPr>
    </w:p>
    <w:p w:rsidR="00415415" w:rsidRPr="005C1507" w:rsidRDefault="00415415" w:rsidP="00415415">
      <w:pPr>
        <w:pStyle w:val="a6"/>
        <w:jc w:val="both"/>
        <w:rPr>
          <w:rFonts w:ascii="Times New Roman" w:hAnsi="Times New Roman" w:cs="Times New Roman"/>
          <w:bCs/>
          <w:color w:val="000000"/>
          <w:kern w:val="36"/>
          <w:sz w:val="28"/>
          <w:szCs w:val="28"/>
        </w:rPr>
      </w:pPr>
    </w:p>
    <w:p w:rsidR="00415415" w:rsidRPr="005C1507" w:rsidRDefault="00415415" w:rsidP="00415415">
      <w:pPr>
        <w:pStyle w:val="a6"/>
        <w:jc w:val="both"/>
        <w:rPr>
          <w:rFonts w:ascii="Times New Roman" w:hAnsi="Times New Roman" w:cs="Times New Roman"/>
          <w:bCs/>
          <w:color w:val="000000"/>
          <w:kern w:val="36"/>
          <w:sz w:val="28"/>
          <w:szCs w:val="28"/>
        </w:rPr>
      </w:pPr>
    </w:p>
    <w:p w:rsidR="00415415" w:rsidRPr="005C1507" w:rsidRDefault="00415415" w:rsidP="00415415">
      <w:pPr>
        <w:pStyle w:val="a6"/>
        <w:jc w:val="both"/>
        <w:rPr>
          <w:rFonts w:ascii="Times New Roman" w:hAnsi="Times New Roman" w:cs="Times New Roman"/>
          <w:bCs/>
          <w:color w:val="000000"/>
          <w:kern w:val="36"/>
          <w:sz w:val="28"/>
          <w:szCs w:val="28"/>
        </w:rPr>
      </w:pPr>
    </w:p>
    <w:p w:rsidR="00415415" w:rsidRPr="005C1507" w:rsidRDefault="00415415" w:rsidP="00415415">
      <w:pPr>
        <w:pStyle w:val="a6"/>
        <w:jc w:val="both"/>
        <w:rPr>
          <w:rFonts w:ascii="Times New Roman" w:hAnsi="Times New Roman" w:cs="Times New Roman"/>
          <w:bCs/>
          <w:color w:val="000000"/>
          <w:kern w:val="36"/>
          <w:sz w:val="28"/>
          <w:szCs w:val="28"/>
        </w:rPr>
      </w:pPr>
    </w:p>
    <w:p w:rsidR="00415415" w:rsidRDefault="00415415" w:rsidP="00415415">
      <w:pPr>
        <w:pStyle w:val="a6"/>
        <w:ind w:left="5664" w:firstLine="708"/>
        <w:jc w:val="both"/>
        <w:rPr>
          <w:rFonts w:ascii="Times New Roman" w:hAnsi="Times New Roman" w:cs="Times New Roman"/>
          <w:bCs/>
          <w:color w:val="000000"/>
          <w:kern w:val="36"/>
          <w:sz w:val="28"/>
          <w:szCs w:val="28"/>
        </w:rPr>
      </w:pPr>
    </w:p>
    <w:p w:rsidR="00415415" w:rsidRDefault="00415415" w:rsidP="00415415">
      <w:pPr>
        <w:pStyle w:val="a6"/>
        <w:ind w:left="5664" w:firstLine="708"/>
        <w:jc w:val="both"/>
        <w:rPr>
          <w:rFonts w:ascii="Times New Roman" w:hAnsi="Times New Roman" w:cs="Times New Roman"/>
          <w:bCs/>
          <w:color w:val="000000"/>
          <w:kern w:val="36"/>
          <w:sz w:val="28"/>
          <w:szCs w:val="28"/>
        </w:rPr>
      </w:pPr>
    </w:p>
    <w:p w:rsidR="00415415" w:rsidRDefault="00415415" w:rsidP="00415415">
      <w:pPr>
        <w:pStyle w:val="a6"/>
        <w:ind w:left="5664" w:firstLine="708"/>
        <w:jc w:val="both"/>
        <w:rPr>
          <w:rFonts w:ascii="Times New Roman" w:hAnsi="Times New Roman" w:cs="Times New Roman"/>
          <w:bCs/>
          <w:color w:val="000000"/>
          <w:kern w:val="36"/>
          <w:sz w:val="28"/>
          <w:szCs w:val="28"/>
        </w:rPr>
      </w:pPr>
    </w:p>
    <w:p w:rsidR="00415415" w:rsidRDefault="00415415" w:rsidP="00415415">
      <w:pPr>
        <w:pStyle w:val="a6"/>
        <w:ind w:left="5664" w:firstLine="708"/>
        <w:jc w:val="both"/>
        <w:rPr>
          <w:rFonts w:ascii="Times New Roman" w:hAnsi="Times New Roman" w:cs="Times New Roman"/>
          <w:bCs/>
          <w:color w:val="000000"/>
          <w:kern w:val="36"/>
          <w:sz w:val="28"/>
          <w:szCs w:val="28"/>
        </w:rPr>
      </w:pPr>
    </w:p>
    <w:p w:rsidR="00415415" w:rsidRDefault="00415415" w:rsidP="00415415">
      <w:pPr>
        <w:pStyle w:val="a6"/>
        <w:ind w:left="5664" w:firstLine="708"/>
        <w:jc w:val="both"/>
        <w:rPr>
          <w:rFonts w:ascii="Times New Roman" w:hAnsi="Times New Roman" w:cs="Times New Roman"/>
          <w:bCs/>
          <w:color w:val="000000"/>
          <w:kern w:val="36"/>
          <w:sz w:val="28"/>
          <w:szCs w:val="28"/>
        </w:rPr>
      </w:pPr>
    </w:p>
    <w:p w:rsidR="00415415" w:rsidRPr="005C1507" w:rsidRDefault="00415415" w:rsidP="00415415">
      <w:pPr>
        <w:pStyle w:val="a6"/>
        <w:ind w:left="5664" w:firstLine="708"/>
        <w:jc w:val="both"/>
        <w:rPr>
          <w:rFonts w:ascii="Times New Roman" w:hAnsi="Times New Roman" w:cs="Times New Roman"/>
          <w:bCs/>
          <w:color w:val="000000"/>
          <w:kern w:val="36"/>
          <w:sz w:val="28"/>
          <w:szCs w:val="28"/>
        </w:rPr>
      </w:pPr>
      <w:r w:rsidRPr="005C1507">
        <w:rPr>
          <w:rFonts w:ascii="Times New Roman" w:hAnsi="Times New Roman" w:cs="Times New Roman"/>
          <w:bCs/>
          <w:color w:val="000000"/>
          <w:kern w:val="36"/>
          <w:sz w:val="28"/>
          <w:szCs w:val="28"/>
        </w:rPr>
        <w:t>Дата начала действия:</w:t>
      </w:r>
    </w:p>
    <w:p w:rsidR="00415415" w:rsidRDefault="00415415" w:rsidP="00415415">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Pr>
          <w:rFonts w:ascii="Times New Roman" w:hAnsi="Times New Roman" w:cs="Times New Roman"/>
          <w:bCs/>
          <w:color w:val="000000"/>
          <w:kern w:val="36"/>
          <w:sz w:val="28"/>
          <w:szCs w:val="28"/>
        </w:rPr>
        <w:t xml:space="preserve">                                                                                          </w:t>
      </w:r>
      <w:r w:rsidR="006458C5">
        <w:rPr>
          <w:rFonts w:ascii="Times New Roman" w:hAnsi="Times New Roman" w:cs="Times New Roman"/>
          <w:bCs/>
          <w:color w:val="000000"/>
          <w:kern w:val="36"/>
          <w:sz w:val="28"/>
          <w:szCs w:val="28"/>
        </w:rPr>
        <w:t>19</w:t>
      </w:r>
      <w:bookmarkStart w:id="1" w:name="_Toc182821747"/>
      <w:bookmarkStart w:id="2" w:name="_Toc182821918"/>
      <w:r w:rsidR="006458C5">
        <w:rPr>
          <w:rFonts w:ascii="Times New Roman" w:hAnsi="Times New Roman" w:cs="Times New Roman"/>
          <w:bCs/>
          <w:color w:val="000000"/>
          <w:kern w:val="36"/>
          <w:sz w:val="28"/>
          <w:szCs w:val="28"/>
        </w:rPr>
        <w:t xml:space="preserve"> декабря </w:t>
      </w:r>
      <w:r w:rsidRPr="005C1507">
        <w:rPr>
          <w:rFonts w:ascii="Times New Roman" w:hAnsi="Times New Roman" w:cs="Times New Roman"/>
          <w:bCs/>
          <w:color w:val="000000"/>
          <w:kern w:val="36"/>
          <w:sz w:val="28"/>
          <w:szCs w:val="28"/>
        </w:rPr>
        <w:t>2024 года</w:t>
      </w:r>
      <w:bookmarkEnd w:id="1"/>
      <w:bookmarkEnd w:id="2"/>
    </w:p>
    <w:sdt>
      <w:sdtPr>
        <w:rPr>
          <w:rFonts w:asciiTheme="minorHAnsi" w:eastAsiaTheme="minorHAnsi" w:hAnsiTheme="minorHAnsi" w:cstheme="minorBidi"/>
          <w:b w:val="0"/>
          <w:bCs w:val="0"/>
          <w:color w:val="auto"/>
          <w:sz w:val="22"/>
          <w:szCs w:val="22"/>
          <w:lang w:eastAsia="en-US"/>
        </w:rPr>
        <w:id w:val="-488788278"/>
        <w:docPartObj>
          <w:docPartGallery w:val="Table of Contents"/>
          <w:docPartUnique/>
        </w:docPartObj>
      </w:sdtPr>
      <w:sdtEndPr/>
      <w:sdtContent>
        <w:p w:rsidR="003968C6" w:rsidRPr="00E3256C" w:rsidRDefault="00442F73">
          <w:pPr>
            <w:pStyle w:val="a7"/>
            <w:rPr>
              <w:rFonts w:ascii="Times New Roman" w:hAnsi="Times New Roman" w:cs="Times New Roman"/>
            </w:rPr>
          </w:pPr>
          <w:r>
            <w:rPr>
              <w:rFonts w:asciiTheme="minorHAnsi" w:eastAsiaTheme="minorHAnsi" w:hAnsiTheme="minorHAnsi" w:cstheme="minorBidi"/>
              <w:b w:val="0"/>
              <w:bCs w:val="0"/>
              <w:color w:val="auto"/>
              <w:sz w:val="22"/>
              <w:szCs w:val="22"/>
              <w:lang w:eastAsia="en-US"/>
            </w:rPr>
            <w:t xml:space="preserve">                                                                              </w:t>
          </w:r>
          <w:r w:rsidR="00E3256C" w:rsidRPr="00E3256C">
            <w:rPr>
              <w:rFonts w:ascii="Times New Roman" w:eastAsiaTheme="minorHAnsi" w:hAnsi="Times New Roman" w:cs="Times New Roman"/>
              <w:bCs w:val="0"/>
              <w:color w:val="auto"/>
              <w:lang w:eastAsia="en-US"/>
            </w:rPr>
            <w:t xml:space="preserve">Содержание: </w:t>
          </w:r>
        </w:p>
        <w:p w:rsidR="003968C6" w:rsidRPr="009B42AE" w:rsidRDefault="003968C6">
          <w:pPr>
            <w:pStyle w:val="2"/>
            <w:tabs>
              <w:tab w:val="right" w:leader="dot" w:pos="9345"/>
            </w:tabs>
            <w:rPr>
              <w:rFonts w:ascii="Times New Roman" w:eastAsiaTheme="minorEastAsia" w:hAnsi="Times New Roman" w:cs="Times New Roman"/>
              <w:noProof/>
              <w:sz w:val="28"/>
              <w:szCs w:val="28"/>
              <w:lang w:eastAsia="ru-RU"/>
            </w:rPr>
          </w:pPr>
          <w:r>
            <w:fldChar w:fldCharType="begin"/>
          </w:r>
          <w:r>
            <w:instrText xml:space="preserve"> TOC \o "1-3" \h \z \u </w:instrText>
          </w:r>
          <w:r>
            <w:fldChar w:fldCharType="separate"/>
          </w:r>
        </w:p>
        <w:p w:rsidR="003968C6" w:rsidRPr="009B42AE" w:rsidRDefault="005A7276">
          <w:pPr>
            <w:pStyle w:val="11"/>
            <w:tabs>
              <w:tab w:val="right" w:leader="dot" w:pos="9345"/>
            </w:tabs>
            <w:rPr>
              <w:rFonts w:ascii="Times New Roman" w:eastAsiaTheme="minorEastAsia" w:hAnsi="Times New Roman" w:cs="Times New Roman"/>
              <w:noProof/>
              <w:sz w:val="28"/>
              <w:szCs w:val="28"/>
              <w:lang w:eastAsia="ru-RU"/>
            </w:rPr>
          </w:pPr>
          <w:hyperlink w:anchor="_Toc182821919" w:history="1">
            <w:r w:rsidR="003968C6" w:rsidRPr="009B42AE">
              <w:rPr>
                <w:rStyle w:val="a8"/>
                <w:rFonts w:ascii="Times New Roman" w:hAnsi="Times New Roman" w:cs="Times New Roman"/>
                <w:noProof/>
                <w:sz w:val="28"/>
                <w:szCs w:val="28"/>
              </w:rPr>
              <w:t>1. Общие положения</w:t>
            </w:r>
            <w:r w:rsidR="003968C6" w:rsidRPr="009B42AE">
              <w:rPr>
                <w:rFonts w:ascii="Times New Roman" w:hAnsi="Times New Roman" w:cs="Times New Roman"/>
                <w:noProof/>
                <w:webHidden/>
                <w:sz w:val="28"/>
                <w:szCs w:val="28"/>
              </w:rPr>
              <w:tab/>
            </w:r>
            <w:r w:rsidR="003968C6" w:rsidRPr="009B42AE">
              <w:rPr>
                <w:rFonts w:ascii="Times New Roman" w:hAnsi="Times New Roman" w:cs="Times New Roman"/>
                <w:noProof/>
                <w:webHidden/>
                <w:sz w:val="28"/>
                <w:szCs w:val="28"/>
              </w:rPr>
              <w:fldChar w:fldCharType="begin"/>
            </w:r>
            <w:r w:rsidR="003968C6" w:rsidRPr="009B42AE">
              <w:rPr>
                <w:rFonts w:ascii="Times New Roman" w:hAnsi="Times New Roman" w:cs="Times New Roman"/>
                <w:noProof/>
                <w:webHidden/>
                <w:sz w:val="28"/>
                <w:szCs w:val="28"/>
              </w:rPr>
              <w:instrText xml:space="preserve"> PAGEREF _Toc182821919 \h </w:instrText>
            </w:r>
            <w:r w:rsidR="003968C6" w:rsidRPr="009B42AE">
              <w:rPr>
                <w:rFonts w:ascii="Times New Roman" w:hAnsi="Times New Roman" w:cs="Times New Roman"/>
                <w:noProof/>
                <w:webHidden/>
                <w:sz w:val="28"/>
                <w:szCs w:val="28"/>
              </w:rPr>
            </w:r>
            <w:r w:rsidR="003968C6" w:rsidRPr="009B42AE">
              <w:rPr>
                <w:rFonts w:ascii="Times New Roman" w:hAnsi="Times New Roman" w:cs="Times New Roman"/>
                <w:noProof/>
                <w:webHidden/>
                <w:sz w:val="28"/>
                <w:szCs w:val="28"/>
              </w:rPr>
              <w:fldChar w:fldCharType="separate"/>
            </w:r>
            <w:r w:rsidR="004C512E">
              <w:rPr>
                <w:rFonts w:ascii="Times New Roman" w:hAnsi="Times New Roman" w:cs="Times New Roman"/>
                <w:noProof/>
                <w:webHidden/>
                <w:sz w:val="28"/>
                <w:szCs w:val="28"/>
              </w:rPr>
              <w:t>3</w:t>
            </w:r>
            <w:r w:rsidR="003968C6" w:rsidRPr="009B42AE">
              <w:rPr>
                <w:rFonts w:ascii="Times New Roman" w:hAnsi="Times New Roman" w:cs="Times New Roman"/>
                <w:noProof/>
                <w:webHidden/>
                <w:sz w:val="28"/>
                <w:szCs w:val="28"/>
              </w:rPr>
              <w:fldChar w:fldCharType="end"/>
            </w:r>
          </w:hyperlink>
        </w:p>
        <w:p w:rsidR="003968C6" w:rsidRPr="009B42AE" w:rsidRDefault="005A7276">
          <w:pPr>
            <w:pStyle w:val="11"/>
            <w:tabs>
              <w:tab w:val="right" w:leader="dot" w:pos="9345"/>
            </w:tabs>
            <w:rPr>
              <w:rFonts w:ascii="Times New Roman" w:eastAsiaTheme="minorEastAsia" w:hAnsi="Times New Roman" w:cs="Times New Roman"/>
              <w:noProof/>
              <w:sz w:val="28"/>
              <w:szCs w:val="28"/>
              <w:lang w:eastAsia="ru-RU"/>
            </w:rPr>
          </w:pPr>
          <w:hyperlink w:anchor="_Toc182821920" w:history="1">
            <w:r w:rsidR="003968C6" w:rsidRPr="009B42AE">
              <w:rPr>
                <w:rStyle w:val="a8"/>
                <w:rFonts w:ascii="Times New Roman" w:hAnsi="Times New Roman" w:cs="Times New Roman"/>
                <w:noProof/>
                <w:sz w:val="28"/>
                <w:szCs w:val="28"/>
              </w:rPr>
              <w:t>2. Оценка существенности</w:t>
            </w:r>
            <w:r w:rsidR="003968C6" w:rsidRPr="009B42AE">
              <w:rPr>
                <w:rFonts w:ascii="Times New Roman" w:hAnsi="Times New Roman" w:cs="Times New Roman"/>
                <w:noProof/>
                <w:webHidden/>
                <w:sz w:val="28"/>
                <w:szCs w:val="28"/>
              </w:rPr>
              <w:tab/>
            </w:r>
            <w:r w:rsidR="003968C6" w:rsidRPr="009B42AE">
              <w:rPr>
                <w:rFonts w:ascii="Times New Roman" w:hAnsi="Times New Roman" w:cs="Times New Roman"/>
                <w:noProof/>
                <w:webHidden/>
                <w:sz w:val="28"/>
                <w:szCs w:val="28"/>
              </w:rPr>
              <w:fldChar w:fldCharType="begin"/>
            </w:r>
            <w:r w:rsidR="003968C6" w:rsidRPr="009B42AE">
              <w:rPr>
                <w:rFonts w:ascii="Times New Roman" w:hAnsi="Times New Roman" w:cs="Times New Roman"/>
                <w:noProof/>
                <w:webHidden/>
                <w:sz w:val="28"/>
                <w:szCs w:val="28"/>
              </w:rPr>
              <w:instrText xml:space="preserve"> PAGEREF _Toc182821920 \h </w:instrText>
            </w:r>
            <w:r w:rsidR="003968C6" w:rsidRPr="009B42AE">
              <w:rPr>
                <w:rFonts w:ascii="Times New Roman" w:hAnsi="Times New Roman" w:cs="Times New Roman"/>
                <w:noProof/>
                <w:webHidden/>
                <w:sz w:val="28"/>
                <w:szCs w:val="28"/>
              </w:rPr>
            </w:r>
            <w:r w:rsidR="003968C6" w:rsidRPr="009B42AE">
              <w:rPr>
                <w:rFonts w:ascii="Times New Roman" w:hAnsi="Times New Roman" w:cs="Times New Roman"/>
                <w:noProof/>
                <w:webHidden/>
                <w:sz w:val="28"/>
                <w:szCs w:val="28"/>
              </w:rPr>
              <w:fldChar w:fldCharType="separate"/>
            </w:r>
            <w:r w:rsidR="004C512E">
              <w:rPr>
                <w:rFonts w:ascii="Times New Roman" w:hAnsi="Times New Roman" w:cs="Times New Roman"/>
                <w:noProof/>
                <w:webHidden/>
                <w:sz w:val="28"/>
                <w:szCs w:val="28"/>
              </w:rPr>
              <w:t>4</w:t>
            </w:r>
            <w:r w:rsidR="003968C6" w:rsidRPr="009B42AE">
              <w:rPr>
                <w:rFonts w:ascii="Times New Roman" w:hAnsi="Times New Roman" w:cs="Times New Roman"/>
                <w:noProof/>
                <w:webHidden/>
                <w:sz w:val="28"/>
                <w:szCs w:val="28"/>
              </w:rPr>
              <w:fldChar w:fldCharType="end"/>
            </w:r>
          </w:hyperlink>
        </w:p>
        <w:p w:rsidR="003968C6" w:rsidRPr="009B42AE" w:rsidRDefault="005A7276">
          <w:pPr>
            <w:pStyle w:val="11"/>
            <w:tabs>
              <w:tab w:val="right" w:leader="dot" w:pos="9345"/>
            </w:tabs>
            <w:rPr>
              <w:rFonts w:ascii="Times New Roman" w:eastAsiaTheme="minorEastAsia" w:hAnsi="Times New Roman" w:cs="Times New Roman"/>
              <w:noProof/>
              <w:sz w:val="28"/>
              <w:szCs w:val="28"/>
              <w:lang w:eastAsia="ru-RU"/>
            </w:rPr>
          </w:pPr>
          <w:hyperlink w:anchor="_Toc182821921" w:history="1">
            <w:r w:rsidR="003968C6" w:rsidRPr="009B42AE">
              <w:rPr>
                <w:rStyle w:val="a8"/>
                <w:rFonts w:ascii="Times New Roman" w:hAnsi="Times New Roman" w:cs="Times New Roman"/>
                <w:noProof/>
                <w:sz w:val="28"/>
                <w:szCs w:val="28"/>
              </w:rPr>
              <w:t>2.1. Применение существенности</w:t>
            </w:r>
            <w:r w:rsidR="003968C6" w:rsidRPr="009B42AE">
              <w:rPr>
                <w:rFonts w:ascii="Times New Roman" w:hAnsi="Times New Roman" w:cs="Times New Roman"/>
                <w:noProof/>
                <w:webHidden/>
                <w:sz w:val="28"/>
                <w:szCs w:val="28"/>
              </w:rPr>
              <w:tab/>
            </w:r>
            <w:r w:rsidR="003968C6" w:rsidRPr="009B42AE">
              <w:rPr>
                <w:rFonts w:ascii="Times New Roman" w:hAnsi="Times New Roman" w:cs="Times New Roman"/>
                <w:noProof/>
                <w:webHidden/>
                <w:sz w:val="28"/>
                <w:szCs w:val="28"/>
              </w:rPr>
              <w:fldChar w:fldCharType="begin"/>
            </w:r>
            <w:r w:rsidR="003968C6" w:rsidRPr="009B42AE">
              <w:rPr>
                <w:rFonts w:ascii="Times New Roman" w:hAnsi="Times New Roman" w:cs="Times New Roman"/>
                <w:noProof/>
                <w:webHidden/>
                <w:sz w:val="28"/>
                <w:szCs w:val="28"/>
              </w:rPr>
              <w:instrText xml:space="preserve"> PAGEREF _Toc182821921 \h </w:instrText>
            </w:r>
            <w:r w:rsidR="003968C6" w:rsidRPr="009B42AE">
              <w:rPr>
                <w:rFonts w:ascii="Times New Roman" w:hAnsi="Times New Roman" w:cs="Times New Roman"/>
                <w:noProof/>
                <w:webHidden/>
                <w:sz w:val="28"/>
                <w:szCs w:val="28"/>
              </w:rPr>
            </w:r>
            <w:r w:rsidR="003968C6" w:rsidRPr="009B42AE">
              <w:rPr>
                <w:rFonts w:ascii="Times New Roman" w:hAnsi="Times New Roman" w:cs="Times New Roman"/>
                <w:noProof/>
                <w:webHidden/>
                <w:sz w:val="28"/>
                <w:szCs w:val="28"/>
              </w:rPr>
              <w:fldChar w:fldCharType="separate"/>
            </w:r>
            <w:r w:rsidR="004C512E">
              <w:rPr>
                <w:rFonts w:ascii="Times New Roman" w:hAnsi="Times New Roman" w:cs="Times New Roman"/>
                <w:noProof/>
                <w:webHidden/>
                <w:sz w:val="28"/>
                <w:szCs w:val="28"/>
              </w:rPr>
              <w:t>4</w:t>
            </w:r>
            <w:r w:rsidR="003968C6" w:rsidRPr="009B42AE">
              <w:rPr>
                <w:rFonts w:ascii="Times New Roman" w:hAnsi="Times New Roman" w:cs="Times New Roman"/>
                <w:noProof/>
                <w:webHidden/>
                <w:sz w:val="28"/>
                <w:szCs w:val="28"/>
              </w:rPr>
              <w:fldChar w:fldCharType="end"/>
            </w:r>
          </w:hyperlink>
        </w:p>
        <w:p w:rsidR="003968C6" w:rsidRPr="009B42AE" w:rsidRDefault="005A7276">
          <w:pPr>
            <w:pStyle w:val="11"/>
            <w:tabs>
              <w:tab w:val="right" w:leader="dot" w:pos="9345"/>
            </w:tabs>
            <w:rPr>
              <w:rFonts w:ascii="Times New Roman" w:eastAsiaTheme="minorEastAsia" w:hAnsi="Times New Roman" w:cs="Times New Roman"/>
              <w:noProof/>
              <w:sz w:val="28"/>
              <w:szCs w:val="28"/>
              <w:lang w:eastAsia="ru-RU"/>
            </w:rPr>
          </w:pPr>
          <w:hyperlink w:anchor="_Toc182821922" w:history="1">
            <w:r w:rsidR="003968C6" w:rsidRPr="009B42AE">
              <w:rPr>
                <w:rStyle w:val="a8"/>
                <w:rFonts w:ascii="Times New Roman" w:hAnsi="Times New Roman" w:cs="Times New Roman"/>
                <w:noProof/>
                <w:sz w:val="28"/>
                <w:szCs w:val="28"/>
              </w:rPr>
              <w:t>2.2. Оценка уровня существенности</w:t>
            </w:r>
            <w:r w:rsidR="003968C6" w:rsidRPr="009B42AE">
              <w:rPr>
                <w:rFonts w:ascii="Times New Roman" w:hAnsi="Times New Roman" w:cs="Times New Roman"/>
                <w:noProof/>
                <w:webHidden/>
                <w:sz w:val="28"/>
                <w:szCs w:val="28"/>
              </w:rPr>
              <w:tab/>
            </w:r>
            <w:r w:rsidR="003968C6" w:rsidRPr="009B42AE">
              <w:rPr>
                <w:rFonts w:ascii="Times New Roman" w:hAnsi="Times New Roman" w:cs="Times New Roman"/>
                <w:noProof/>
                <w:webHidden/>
                <w:sz w:val="28"/>
                <w:szCs w:val="28"/>
              </w:rPr>
              <w:fldChar w:fldCharType="begin"/>
            </w:r>
            <w:r w:rsidR="003968C6" w:rsidRPr="009B42AE">
              <w:rPr>
                <w:rFonts w:ascii="Times New Roman" w:hAnsi="Times New Roman" w:cs="Times New Roman"/>
                <w:noProof/>
                <w:webHidden/>
                <w:sz w:val="28"/>
                <w:szCs w:val="28"/>
              </w:rPr>
              <w:instrText xml:space="preserve"> PAGEREF _Toc182821922 \h </w:instrText>
            </w:r>
            <w:r w:rsidR="003968C6" w:rsidRPr="009B42AE">
              <w:rPr>
                <w:rFonts w:ascii="Times New Roman" w:hAnsi="Times New Roman" w:cs="Times New Roman"/>
                <w:noProof/>
                <w:webHidden/>
                <w:sz w:val="28"/>
                <w:szCs w:val="28"/>
              </w:rPr>
            </w:r>
            <w:r w:rsidR="003968C6" w:rsidRPr="009B42AE">
              <w:rPr>
                <w:rFonts w:ascii="Times New Roman" w:hAnsi="Times New Roman" w:cs="Times New Roman"/>
                <w:noProof/>
                <w:webHidden/>
                <w:sz w:val="28"/>
                <w:szCs w:val="28"/>
              </w:rPr>
              <w:fldChar w:fldCharType="separate"/>
            </w:r>
            <w:r w:rsidR="004C512E">
              <w:rPr>
                <w:rFonts w:ascii="Times New Roman" w:hAnsi="Times New Roman" w:cs="Times New Roman"/>
                <w:noProof/>
                <w:webHidden/>
                <w:sz w:val="28"/>
                <w:szCs w:val="28"/>
              </w:rPr>
              <w:t>5</w:t>
            </w:r>
            <w:r w:rsidR="003968C6" w:rsidRPr="009B42AE">
              <w:rPr>
                <w:rFonts w:ascii="Times New Roman" w:hAnsi="Times New Roman" w:cs="Times New Roman"/>
                <w:noProof/>
                <w:webHidden/>
                <w:sz w:val="28"/>
                <w:szCs w:val="28"/>
              </w:rPr>
              <w:fldChar w:fldCharType="end"/>
            </w:r>
          </w:hyperlink>
        </w:p>
        <w:p w:rsidR="003968C6" w:rsidRPr="009B42AE" w:rsidRDefault="005A7276">
          <w:pPr>
            <w:pStyle w:val="11"/>
            <w:tabs>
              <w:tab w:val="right" w:leader="dot" w:pos="9345"/>
            </w:tabs>
            <w:rPr>
              <w:rFonts w:ascii="Times New Roman" w:eastAsiaTheme="minorEastAsia" w:hAnsi="Times New Roman" w:cs="Times New Roman"/>
              <w:noProof/>
              <w:sz w:val="28"/>
              <w:szCs w:val="28"/>
              <w:lang w:eastAsia="ru-RU"/>
            </w:rPr>
          </w:pPr>
          <w:hyperlink w:anchor="_Toc182821923" w:history="1">
            <w:r w:rsidR="003968C6" w:rsidRPr="009B42AE">
              <w:rPr>
                <w:rStyle w:val="a8"/>
                <w:rFonts w:ascii="Times New Roman" w:hAnsi="Times New Roman" w:cs="Times New Roman"/>
                <w:noProof/>
                <w:sz w:val="28"/>
                <w:szCs w:val="28"/>
              </w:rPr>
              <w:t>3. Оценка рисков</w:t>
            </w:r>
            <w:r w:rsidR="003968C6" w:rsidRPr="009B42AE">
              <w:rPr>
                <w:rFonts w:ascii="Times New Roman" w:hAnsi="Times New Roman" w:cs="Times New Roman"/>
                <w:noProof/>
                <w:webHidden/>
                <w:sz w:val="28"/>
                <w:szCs w:val="28"/>
              </w:rPr>
              <w:tab/>
            </w:r>
            <w:r w:rsidR="003968C6" w:rsidRPr="009B42AE">
              <w:rPr>
                <w:rFonts w:ascii="Times New Roman" w:hAnsi="Times New Roman" w:cs="Times New Roman"/>
                <w:noProof/>
                <w:webHidden/>
                <w:sz w:val="28"/>
                <w:szCs w:val="28"/>
              </w:rPr>
              <w:fldChar w:fldCharType="begin"/>
            </w:r>
            <w:r w:rsidR="003968C6" w:rsidRPr="009B42AE">
              <w:rPr>
                <w:rFonts w:ascii="Times New Roman" w:hAnsi="Times New Roman" w:cs="Times New Roman"/>
                <w:noProof/>
                <w:webHidden/>
                <w:sz w:val="28"/>
                <w:szCs w:val="28"/>
              </w:rPr>
              <w:instrText xml:space="preserve"> PAGEREF _Toc182821923 \h </w:instrText>
            </w:r>
            <w:r w:rsidR="003968C6" w:rsidRPr="009B42AE">
              <w:rPr>
                <w:rFonts w:ascii="Times New Roman" w:hAnsi="Times New Roman" w:cs="Times New Roman"/>
                <w:noProof/>
                <w:webHidden/>
                <w:sz w:val="28"/>
                <w:szCs w:val="28"/>
              </w:rPr>
            </w:r>
            <w:r w:rsidR="003968C6" w:rsidRPr="009B42AE">
              <w:rPr>
                <w:rFonts w:ascii="Times New Roman" w:hAnsi="Times New Roman" w:cs="Times New Roman"/>
                <w:noProof/>
                <w:webHidden/>
                <w:sz w:val="28"/>
                <w:szCs w:val="28"/>
              </w:rPr>
              <w:fldChar w:fldCharType="separate"/>
            </w:r>
            <w:r w:rsidR="004C512E">
              <w:rPr>
                <w:rFonts w:ascii="Times New Roman" w:hAnsi="Times New Roman" w:cs="Times New Roman"/>
                <w:noProof/>
                <w:webHidden/>
                <w:sz w:val="28"/>
                <w:szCs w:val="28"/>
              </w:rPr>
              <w:t>10</w:t>
            </w:r>
            <w:r w:rsidR="003968C6" w:rsidRPr="009B42AE">
              <w:rPr>
                <w:rFonts w:ascii="Times New Roman" w:hAnsi="Times New Roman" w:cs="Times New Roman"/>
                <w:noProof/>
                <w:webHidden/>
                <w:sz w:val="28"/>
                <w:szCs w:val="28"/>
              </w:rPr>
              <w:fldChar w:fldCharType="end"/>
            </w:r>
          </w:hyperlink>
        </w:p>
        <w:p w:rsidR="003968C6" w:rsidRPr="009B42AE" w:rsidRDefault="005A7276">
          <w:pPr>
            <w:pStyle w:val="11"/>
            <w:tabs>
              <w:tab w:val="right" w:leader="dot" w:pos="9345"/>
            </w:tabs>
            <w:rPr>
              <w:rFonts w:ascii="Times New Roman" w:eastAsiaTheme="minorEastAsia" w:hAnsi="Times New Roman" w:cs="Times New Roman"/>
              <w:noProof/>
              <w:sz w:val="28"/>
              <w:szCs w:val="28"/>
              <w:lang w:eastAsia="ru-RU"/>
            </w:rPr>
          </w:pPr>
          <w:hyperlink w:anchor="_Toc182821924" w:history="1">
            <w:r w:rsidR="003968C6" w:rsidRPr="009B42AE">
              <w:rPr>
                <w:rStyle w:val="a8"/>
                <w:rFonts w:ascii="Times New Roman" w:hAnsi="Times New Roman" w:cs="Times New Roman"/>
                <w:noProof/>
                <w:sz w:val="28"/>
                <w:szCs w:val="28"/>
              </w:rPr>
              <w:t>3.1. Понятие и виды рисков</w:t>
            </w:r>
            <w:r w:rsidR="003968C6" w:rsidRPr="009B42AE">
              <w:rPr>
                <w:rFonts w:ascii="Times New Roman" w:hAnsi="Times New Roman" w:cs="Times New Roman"/>
                <w:noProof/>
                <w:webHidden/>
                <w:sz w:val="28"/>
                <w:szCs w:val="28"/>
              </w:rPr>
              <w:tab/>
            </w:r>
            <w:r w:rsidR="003968C6" w:rsidRPr="009B42AE">
              <w:rPr>
                <w:rFonts w:ascii="Times New Roman" w:hAnsi="Times New Roman" w:cs="Times New Roman"/>
                <w:noProof/>
                <w:webHidden/>
                <w:sz w:val="28"/>
                <w:szCs w:val="28"/>
              </w:rPr>
              <w:fldChar w:fldCharType="begin"/>
            </w:r>
            <w:r w:rsidR="003968C6" w:rsidRPr="009B42AE">
              <w:rPr>
                <w:rFonts w:ascii="Times New Roman" w:hAnsi="Times New Roman" w:cs="Times New Roman"/>
                <w:noProof/>
                <w:webHidden/>
                <w:sz w:val="28"/>
                <w:szCs w:val="28"/>
              </w:rPr>
              <w:instrText xml:space="preserve"> PAGEREF _Toc182821924 \h </w:instrText>
            </w:r>
            <w:r w:rsidR="003968C6" w:rsidRPr="009B42AE">
              <w:rPr>
                <w:rFonts w:ascii="Times New Roman" w:hAnsi="Times New Roman" w:cs="Times New Roman"/>
                <w:noProof/>
                <w:webHidden/>
                <w:sz w:val="28"/>
                <w:szCs w:val="28"/>
              </w:rPr>
            </w:r>
            <w:r w:rsidR="003968C6" w:rsidRPr="009B42AE">
              <w:rPr>
                <w:rFonts w:ascii="Times New Roman" w:hAnsi="Times New Roman" w:cs="Times New Roman"/>
                <w:noProof/>
                <w:webHidden/>
                <w:sz w:val="28"/>
                <w:szCs w:val="28"/>
              </w:rPr>
              <w:fldChar w:fldCharType="separate"/>
            </w:r>
            <w:r w:rsidR="004C512E">
              <w:rPr>
                <w:rFonts w:ascii="Times New Roman" w:hAnsi="Times New Roman" w:cs="Times New Roman"/>
                <w:noProof/>
                <w:webHidden/>
                <w:sz w:val="28"/>
                <w:szCs w:val="28"/>
              </w:rPr>
              <w:t>10</w:t>
            </w:r>
            <w:r w:rsidR="003968C6" w:rsidRPr="009B42AE">
              <w:rPr>
                <w:rFonts w:ascii="Times New Roman" w:hAnsi="Times New Roman" w:cs="Times New Roman"/>
                <w:noProof/>
                <w:webHidden/>
                <w:sz w:val="28"/>
                <w:szCs w:val="28"/>
              </w:rPr>
              <w:fldChar w:fldCharType="end"/>
            </w:r>
          </w:hyperlink>
        </w:p>
        <w:p w:rsidR="003968C6" w:rsidRPr="009B42AE" w:rsidRDefault="005A7276">
          <w:pPr>
            <w:pStyle w:val="11"/>
            <w:tabs>
              <w:tab w:val="right" w:leader="dot" w:pos="9345"/>
            </w:tabs>
            <w:rPr>
              <w:rFonts w:ascii="Times New Roman" w:eastAsiaTheme="minorEastAsia" w:hAnsi="Times New Roman" w:cs="Times New Roman"/>
              <w:noProof/>
              <w:sz w:val="28"/>
              <w:szCs w:val="28"/>
              <w:lang w:eastAsia="ru-RU"/>
            </w:rPr>
          </w:pPr>
          <w:hyperlink w:anchor="_Toc182821925" w:history="1">
            <w:r w:rsidR="003968C6" w:rsidRPr="009B42AE">
              <w:rPr>
                <w:rStyle w:val="a8"/>
                <w:rFonts w:ascii="Times New Roman" w:hAnsi="Times New Roman" w:cs="Times New Roman"/>
                <w:noProof/>
                <w:sz w:val="28"/>
                <w:szCs w:val="28"/>
              </w:rPr>
              <w:t>3.2. Процедуры оценки рисков</w:t>
            </w:r>
            <w:r w:rsidR="003968C6" w:rsidRPr="009B42AE">
              <w:rPr>
                <w:rFonts w:ascii="Times New Roman" w:hAnsi="Times New Roman" w:cs="Times New Roman"/>
                <w:noProof/>
                <w:webHidden/>
                <w:sz w:val="28"/>
                <w:szCs w:val="28"/>
              </w:rPr>
              <w:tab/>
            </w:r>
            <w:r w:rsidR="003968C6" w:rsidRPr="009B42AE">
              <w:rPr>
                <w:rFonts w:ascii="Times New Roman" w:hAnsi="Times New Roman" w:cs="Times New Roman"/>
                <w:noProof/>
                <w:webHidden/>
                <w:sz w:val="28"/>
                <w:szCs w:val="28"/>
              </w:rPr>
              <w:fldChar w:fldCharType="begin"/>
            </w:r>
            <w:r w:rsidR="003968C6" w:rsidRPr="009B42AE">
              <w:rPr>
                <w:rFonts w:ascii="Times New Roman" w:hAnsi="Times New Roman" w:cs="Times New Roman"/>
                <w:noProof/>
                <w:webHidden/>
                <w:sz w:val="28"/>
                <w:szCs w:val="28"/>
              </w:rPr>
              <w:instrText xml:space="preserve"> PAGEREF _Toc182821925 \h </w:instrText>
            </w:r>
            <w:r w:rsidR="003968C6" w:rsidRPr="009B42AE">
              <w:rPr>
                <w:rFonts w:ascii="Times New Roman" w:hAnsi="Times New Roman" w:cs="Times New Roman"/>
                <w:noProof/>
                <w:webHidden/>
                <w:sz w:val="28"/>
                <w:szCs w:val="28"/>
              </w:rPr>
            </w:r>
            <w:r w:rsidR="003968C6" w:rsidRPr="009B42AE">
              <w:rPr>
                <w:rFonts w:ascii="Times New Roman" w:hAnsi="Times New Roman" w:cs="Times New Roman"/>
                <w:noProof/>
                <w:webHidden/>
                <w:sz w:val="28"/>
                <w:szCs w:val="28"/>
              </w:rPr>
              <w:fldChar w:fldCharType="separate"/>
            </w:r>
            <w:r w:rsidR="004C512E">
              <w:rPr>
                <w:rFonts w:ascii="Times New Roman" w:hAnsi="Times New Roman" w:cs="Times New Roman"/>
                <w:noProof/>
                <w:webHidden/>
                <w:sz w:val="28"/>
                <w:szCs w:val="28"/>
              </w:rPr>
              <w:t>12</w:t>
            </w:r>
            <w:r w:rsidR="003968C6" w:rsidRPr="009B42AE">
              <w:rPr>
                <w:rFonts w:ascii="Times New Roman" w:hAnsi="Times New Roman" w:cs="Times New Roman"/>
                <w:noProof/>
                <w:webHidden/>
                <w:sz w:val="28"/>
                <w:szCs w:val="28"/>
              </w:rPr>
              <w:fldChar w:fldCharType="end"/>
            </w:r>
          </w:hyperlink>
        </w:p>
        <w:p w:rsidR="003968C6" w:rsidRPr="009B42AE" w:rsidRDefault="005A7276">
          <w:pPr>
            <w:pStyle w:val="11"/>
            <w:tabs>
              <w:tab w:val="right" w:leader="dot" w:pos="9345"/>
            </w:tabs>
            <w:rPr>
              <w:rFonts w:ascii="Times New Roman" w:eastAsiaTheme="minorEastAsia" w:hAnsi="Times New Roman" w:cs="Times New Roman"/>
              <w:noProof/>
              <w:sz w:val="28"/>
              <w:szCs w:val="28"/>
              <w:lang w:eastAsia="ru-RU"/>
            </w:rPr>
          </w:pPr>
          <w:hyperlink w:anchor="_Toc182821926" w:history="1">
            <w:r w:rsidR="003968C6" w:rsidRPr="009B42AE">
              <w:rPr>
                <w:rStyle w:val="a8"/>
                <w:rFonts w:ascii="Times New Roman" w:hAnsi="Times New Roman" w:cs="Times New Roman"/>
                <w:noProof/>
                <w:sz w:val="28"/>
                <w:szCs w:val="28"/>
              </w:rPr>
              <w:t>3.3. Классификация рисков</w:t>
            </w:r>
            <w:r w:rsidR="003968C6" w:rsidRPr="009B42AE">
              <w:rPr>
                <w:rFonts w:ascii="Times New Roman" w:hAnsi="Times New Roman" w:cs="Times New Roman"/>
                <w:noProof/>
                <w:webHidden/>
                <w:sz w:val="28"/>
                <w:szCs w:val="28"/>
              </w:rPr>
              <w:tab/>
            </w:r>
            <w:r w:rsidR="003968C6" w:rsidRPr="009B42AE">
              <w:rPr>
                <w:rFonts w:ascii="Times New Roman" w:hAnsi="Times New Roman" w:cs="Times New Roman"/>
                <w:noProof/>
                <w:webHidden/>
                <w:sz w:val="28"/>
                <w:szCs w:val="28"/>
              </w:rPr>
              <w:fldChar w:fldCharType="begin"/>
            </w:r>
            <w:r w:rsidR="003968C6" w:rsidRPr="009B42AE">
              <w:rPr>
                <w:rFonts w:ascii="Times New Roman" w:hAnsi="Times New Roman" w:cs="Times New Roman"/>
                <w:noProof/>
                <w:webHidden/>
                <w:sz w:val="28"/>
                <w:szCs w:val="28"/>
              </w:rPr>
              <w:instrText xml:space="preserve"> PAGEREF _Toc182821926 \h </w:instrText>
            </w:r>
            <w:r w:rsidR="003968C6" w:rsidRPr="009B42AE">
              <w:rPr>
                <w:rFonts w:ascii="Times New Roman" w:hAnsi="Times New Roman" w:cs="Times New Roman"/>
                <w:noProof/>
                <w:webHidden/>
                <w:sz w:val="28"/>
                <w:szCs w:val="28"/>
              </w:rPr>
            </w:r>
            <w:r w:rsidR="003968C6" w:rsidRPr="009B42AE">
              <w:rPr>
                <w:rFonts w:ascii="Times New Roman" w:hAnsi="Times New Roman" w:cs="Times New Roman"/>
                <w:noProof/>
                <w:webHidden/>
                <w:sz w:val="28"/>
                <w:szCs w:val="28"/>
              </w:rPr>
              <w:fldChar w:fldCharType="separate"/>
            </w:r>
            <w:r w:rsidR="004C512E">
              <w:rPr>
                <w:rFonts w:ascii="Times New Roman" w:hAnsi="Times New Roman" w:cs="Times New Roman"/>
                <w:noProof/>
                <w:webHidden/>
                <w:sz w:val="28"/>
                <w:szCs w:val="28"/>
              </w:rPr>
              <w:t>18</w:t>
            </w:r>
            <w:r w:rsidR="003968C6" w:rsidRPr="009B42AE">
              <w:rPr>
                <w:rFonts w:ascii="Times New Roman" w:hAnsi="Times New Roman" w:cs="Times New Roman"/>
                <w:noProof/>
                <w:webHidden/>
                <w:sz w:val="28"/>
                <w:szCs w:val="28"/>
              </w:rPr>
              <w:fldChar w:fldCharType="end"/>
            </w:r>
          </w:hyperlink>
        </w:p>
        <w:p w:rsidR="003968C6" w:rsidRPr="009B42AE" w:rsidRDefault="005A7276">
          <w:pPr>
            <w:pStyle w:val="11"/>
            <w:tabs>
              <w:tab w:val="right" w:leader="dot" w:pos="9345"/>
            </w:tabs>
            <w:rPr>
              <w:rFonts w:ascii="Times New Roman" w:eastAsiaTheme="minorEastAsia" w:hAnsi="Times New Roman" w:cs="Times New Roman"/>
              <w:noProof/>
              <w:sz w:val="28"/>
              <w:szCs w:val="28"/>
              <w:lang w:eastAsia="ru-RU"/>
            </w:rPr>
          </w:pPr>
          <w:hyperlink w:anchor="_Toc182821927" w:history="1">
            <w:r w:rsidR="003968C6" w:rsidRPr="009B42AE">
              <w:rPr>
                <w:rStyle w:val="a8"/>
                <w:rFonts w:ascii="Times New Roman" w:hAnsi="Times New Roman" w:cs="Times New Roman"/>
                <w:noProof/>
                <w:sz w:val="28"/>
                <w:szCs w:val="28"/>
              </w:rPr>
              <w:t xml:space="preserve">Приложение №1 </w:t>
            </w:r>
          </w:hyperlink>
          <w:r w:rsidR="00927E1E" w:rsidRPr="00927E1E">
            <w:rPr>
              <w:rStyle w:val="a8"/>
              <w:rFonts w:ascii="Times New Roman" w:hAnsi="Times New Roman" w:cs="Times New Roman"/>
              <w:noProof/>
              <w:color w:val="auto"/>
              <w:sz w:val="28"/>
              <w:szCs w:val="28"/>
              <w:u w:val="none"/>
            </w:rPr>
            <w:t xml:space="preserve">Пример оценки существенности </w:t>
          </w:r>
          <w:hyperlink w:anchor="_Toc182821928" w:history="1">
            <w:r w:rsidR="003968C6" w:rsidRPr="009B42AE">
              <w:rPr>
                <w:rFonts w:ascii="Times New Roman" w:hAnsi="Times New Roman" w:cs="Times New Roman"/>
                <w:noProof/>
                <w:webHidden/>
                <w:sz w:val="28"/>
                <w:szCs w:val="28"/>
              </w:rPr>
              <w:tab/>
            </w:r>
            <w:r w:rsidR="003968C6" w:rsidRPr="009B42AE">
              <w:rPr>
                <w:rFonts w:ascii="Times New Roman" w:hAnsi="Times New Roman" w:cs="Times New Roman"/>
                <w:noProof/>
                <w:webHidden/>
                <w:sz w:val="28"/>
                <w:szCs w:val="28"/>
              </w:rPr>
              <w:fldChar w:fldCharType="begin"/>
            </w:r>
            <w:r w:rsidR="003968C6" w:rsidRPr="009B42AE">
              <w:rPr>
                <w:rFonts w:ascii="Times New Roman" w:hAnsi="Times New Roman" w:cs="Times New Roman"/>
                <w:noProof/>
                <w:webHidden/>
                <w:sz w:val="28"/>
                <w:szCs w:val="28"/>
              </w:rPr>
              <w:instrText xml:space="preserve"> PAGEREF _Toc182821928 \h </w:instrText>
            </w:r>
            <w:r w:rsidR="003968C6" w:rsidRPr="009B42AE">
              <w:rPr>
                <w:rFonts w:ascii="Times New Roman" w:hAnsi="Times New Roman" w:cs="Times New Roman"/>
                <w:noProof/>
                <w:webHidden/>
                <w:sz w:val="28"/>
                <w:szCs w:val="28"/>
              </w:rPr>
            </w:r>
            <w:r w:rsidR="003968C6" w:rsidRPr="009B42AE">
              <w:rPr>
                <w:rFonts w:ascii="Times New Roman" w:hAnsi="Times New Roman" w:cs="Times New Roman"/>
                <w:noProof/>
                <w:webHidden/>
                <w:sz w:val="28"/>
                <w:szCs w:val="28"/>
              </w:rPr>
              <w:fldChar w:fldCharType="separate"/>
            </w:r>
            <w:r w:rsidR="004C512E">
              <w:rPr>
                <w:rFonts w:ascii="Times New Roman" w:hAnsi="Times New Roman" w:cs="Times New Roman"/>
                <w:noProof/>
                <w:webHidden/>
                <w:sz w:val="28"/>
                <w:szCs w:val="28"/>
              </w:rPr>
              <w:t>22</w:t>
            </w:r>
            <w:r w:rsidR="003968C6" w:rsidRPr="009B42AE">
              <w:rPr>
                <w:rFonts w:ascii="Times New Roman" w:hAnsi="Times New Roman" w:cs="Times New Roman"/>
                <w:noProof/>
                <w:webHidden/>
                <w:sz w:val="28"/>
                <w:szCs w:val="28"/>
              </w:rPr>
              <w:fldChar w:fldCharType="end"/>
            </w:r>
          </w:hyperlink>
        </w:p>
        <w:p w:rsidR="003968C6" w:rsidRDefault="005A7276">
          <w:pPr>
            <w:pStyle w:val="11"/>
            <w:tabs>
              <w:tab w:val="right" w:leader="dot" w:pos="9345"/>
            </w:tabs>
            <w:rPr>
              <w:rFonts w:eastAsiaTheme="minorEastAsia"/>
              <w:noProof/>
              <w:lang w:eastAsia="ru-RU"/>
            </w:rPr>
          </w:pPr>
          <w:hyperlink w:anchor="_Toc182821929" w:history="1">
            <w:r w:rsidR="003968C6" w:rsidRPr="009B42AE">
              <w:rPr>
                <w:rStyle w:val="a8"/>
                <w:rFonts w:ascii="Times New Roman" w:hAnsi="Times New Roman" w:cs="Times New Roman"/>
                <w:noProof/>
                <w:sz w:val="28"/>
                <w:szCs w:val="28"/>
              </w:rPr>
              <w:t>Приложение №2</w:t>
            </w:r>
          </w:hyperlink>
          <w:r w:rsidR="003968C6" w:rsidRPr="00927E1E">
            <w:rPr>
              <w:rStyle w:val="a8"/>
              <w:rFonts w:ascii="Times New Roman" w:hAnsi="Times New Roman" w:cs="Times New Roman"/>
              <w:noProof/>
              <w:sz w:val="28"/>
              <w:szCs w:val="28"/>
              <w:u w:val="none"/>
            </w:rPr>
            <w:t xml:space="preserve"> </w:t>
          </w:r>
          <w:hyperlink w:anchor="_Toc182821930" w:history="1">
            <w:r w:rsidR="003968C6" w:rsidRPr="009B42AE">
              <w:rPr>
                <w:rStyle w:val="a8"/>
                <w:rFonts w:ascii="Times New Roman" w:hAnsi="Times New Roman" w:cs="Times New Roman"/>
                <w:noProof/>
                <w:sz w:val="28"/>
                <w:szCs w:val="28"/>
              </w:rPr>
              <w:t xml:space="preserve">к </w:t>
            </w:r>
            <w:r w:rsidR="00927E1E">
              <w:rPr>
                <w:rStyle w:val="a8"/>
                <w:rFonts w:ascii="Times New Roman" w:hAnsi="Times New Roman" w:cs="Times New Roman"/>
                <w:noProof/>
                <w:sz w:val="28"/>
                <w:szCs w:val="28"/>
              </w:rPr>
              <w:t>Алгоритм оценки существенности и рисков</w:t>
            </w:r>
            <w:r w:rsidR="003968C6" w:rsidRPr="009B42AE">
              <w:rPr>
                <w:rFonts w:ascii="Times New Roman" w:hAnsi="Times New Roman" w:cs="Times New Roman"/>
                <w:noProof/>
                <w:webHidden/>
                <w:sz w:val="28"/>
                <w:szCs w:val="28"/>
              </w:rPr>
              <w:tab/>
            </w:r>
            <w:r w:rsidR="003968C6" w:rsidRPr="009B42AE">
              <w:rPr>
                <w:rFonts w:ascii="Times New Roman" w:hAnsi="Times New Roman" w:cs="Times New Roman"/>
                <w:noProof/>
                <w:webHidden/>
                <w:sz w:val="28"/>
                <w:szCs w:val="28"/>
              </w:rPr>
              <w:fldChar w:fldCharType="begin"/>
            </w:r>
            <w:r w:rsidR="003968C6" w:rsidRPr="009B42AE">
              <w:rPr>
                <w:rFonts w:ascii="Times New Roman" w:hAnsi="Times New Roman" w:cs="Times New Roman"/>
                <w:noProof/>
                <w:webHidden/>
                <w:sz w:val="28"/>
                <w:szCs w:val="28"/>
              </w:rPr>
              <w:instrText xml:space="preserve"> PAGEREF _Toc182821930 \h </w:instrText>
            </w:r>
            <w:r w:rsidR="003968C6" w:rsidRPr="009B42AE">
              <w:rPr>
                <w:rFonts w:ascii="Times New Roman" w:hAnsi="Times New Roman" w:cs="Times New Roman"/>
                <w:noProof/>
                <w:webHidden/>
                <w:sz w:val="28"/>
                <w:szCs w:val="28"/>
              </w:rPr>
            </w:r>
            <w:r w:rsidR="003968C6" w:rsidRPr="009B42AE">
              <w:rPr>
                <w:rFonts w:ascii="Times New Roman" w:hAnsi="Times New Roman" w:cs="Times New Roman"/>
                <w:noProof/>
                <w:webHidden/>
                <w:sz w:val="28"/>
                <w:szCs w:val="28"/>
              </w:rPr>
              <w:fldChar w:fldCharType="separate"/>
            </w:r>
            <w:r w:rsidR="004C512E">
              <w:rPr>
                <w:rFonts w:ascii="Times New Roman" w:hAnsi="Times New Roman" w:cs="Times New Roman"/>
                <w:noProof/>
                <w:webHidden/>
                <w:sz w:val="28"/>
                <w:szCs w:val="28"/>
              </w:rPr>
              <w:t>25</w:t>
            </w:r>
            <w:r w:rsidR="003968C6" w:rsidRPr="009B42AE">
              <w:rPr>
                <w:rFonts w:ascii="Times New Roman" w:hAnsi="Times New Roman" w:cs="Times New Roman"/>
                <w:noProof/>
                <w:webHidden/>
                <w:sz w:val="28"/>
                <w:szCs w:val="28"/>
              </w:rPr>
              <w:fldChar w:fldCharType="end"/>
            </w:r>
          </w:hyperlink>
        </w:p>
        <w:p w:rsidR="003968C6" w:rsidRDefault="003968C6">
          <w:r>
            <w:rPr>
              <w:b/>
              <w:bCs/>
            </w:rPr>
            <w:fldChar w:fldCharType="end"/>
          </w:r>
        </w:p>
      </w:sdtContent>
    </w:sdt>
    <w:p w:rsidR="0015012B" w:rsidRDefault="0015012B" w:rsidP="00415415">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p>
    <w:p w:rsidR="003968C6" w:rsidRDefault="003968C6" w:rsidP="003968C6">
      <w:pPr>
        <w:pStyle w:val="1"/>
      </w:pPr>
      <w:bookmarkStart w:id="3" w:name="_Toc182821748"/>
      <w:bookmarkStart w:id="4" w:name="_Toc182821919"/>
    </w:p>
    <w:p w:rsidR="009B42AE" w:rsidRPr="009B42AE" w:rsidRDefault="009B42AE" w:rsidP="009B42AE"/>
    <w:p w:rsidR="003968C6" w:rsidRDefault="003968C6" w:rsidP="003968C6">
      <w:pPr>
        <w:pStyle w:val="1"/>
      </w:pPr>
    </w:p>
    <w:p w:rsidR="000D06A6" w:rsidRDefault="000D06A6" w:rsidP="000D06A6"/>
    <w:p w:rsidR="000D06A6" w:rsidRPr="000D06A6" w:rsidRDefault="000D06A6" w:rsidP="000D06A6"/>
    <w:p w:rsidR="001E12EF" w:rsidRDefault="001E12EF" w:rsidP="000D06A6">
      <w:pPr>
        <w:pStyle w:val="1"/>
        <w:ind w:left="2832"/>
      </w:pPr>
    </w:p>
    <w:p w:rsidR="001E12EF" w:rsidRDefault="001E12EF" w:rsidP="001E12EF"/>
    <w:p w:rsidR="001E12EF" w:rsidRDefault="001E12EF" w:rsidP="001E12EF"/>
    <w:p w:rsidR="001E12EF" w:rsidRDefault="001E12EF" w:rsidP="001E12EF"/>
    <w:p w:rsidR="001E12EF" w:rsidRDefault="001E12EF" w:rsidP="001E12EF"/>
    <w:p w:rsidR="001E12EF" w:rsidRDefault="001E12EF" w:rsidP="001E12EF"/>
    <w:p w:rsidR="001E12EF" w:rsidRDefault="001E12EF" w:rsidP="001E12EF"/>
    <w:p w:rsidR="001E12EF" w:rsidRPr="001E12EF" w:rsidRDefault="001E12EF" w:rsidP="001E12EF"/>
    <w:p w:rsidR="00415415" w:rsidRDefault="000D06A6" w:rsidP="000D06A6">
      <w:pPr>
        <w:pStyle w:val="1"/>
        <w:ind w:left="2832"/>
        <w:rPr>
          <w:rFonts w:ascii="Times New Roman" w:hAnsi="Times New Roman" w:cs="Times New Roman"/>
          <w:color w:val="auto"/>
        </w:rPr>
      </w:pPr>
      <w:r w:rsidRPr="001E12EF">
        <w:rPr>
          <w:rFonts w:ascii="Times New Roman" w:hAnsi="Times New Roman" w:cs="Times New Roman"/>
          <w:color w:val="auto"/>
        </w:rPr>
        <w:lastRenderedPageBreak/>
        <w:t xml:space="preserve">  </w:t>
      </w:r>
      <w:r w:rsidR="000D7A72">
        <w:rPr>
          <w:rFonts w:ascii="Times New Roman" w:hAnsi="Times New Roman" w:cs="Times New Roman"/>
          <w:color w:val="auto"/>
        </w:rPr>
        <w:t xml:space="preserve">    </w:t>
      </w:r>
      <w:r w:rsidRPr="001E12EF">
        <w:rPr>
          <w:rFonts w:ascii="Times New Roman" w:hAnsi="Times New Roman" w:cs="Times New Roman"/>
          <w:color w:val="auto"/>
        </w:rPr>
        <w:t xml:space="preserve"> </w:t>
      </w:r>
      <w:r w:rsidR="00415415" w:rsidRPr="001E12EF">
        <w:rPr>
          <w:rFonts w:ascii="Times New Roman" w:hAnsi="Times New Roman" w:cs="Times New Roman"/>
          <w:color w:val="auto"/>
        </w:rPr>
        <w:t>1. Общие положения</w:t>
      </w:r>
      <w:bookmarkEnd w:id="0"/>
      <w:bookmarkEnd w:id="3"/>
      <w:bookmarkEnd w:id="4"/>
    </w:p>
    <w:p w:rsidR="000D7A72" w:rsidRDefault="000D7A72" w:rsidP="00415415">
      <w:pPr>
        <w:spacing w:after="0" w:line="240" w:lineRule="auto"/>
        <w:ind w:firstLine="708"/>
        <w:jc w:val="both"/>
        <w:rPr>
          <w:rFonts w:ascii="Times New Roman" w:eastAsia="Times New Roman" w:hAnsi="Times New Roman" w:cs="Times New Roman"/>
          <w:sz w:val="28"/>
          <w:szCs w:val="28"/>
          <w:lang w:eastAsia="ru-RU"/>
        </w:rPr>
      </w:pPr>
    </w:p>
    <w:p w:rsidR="00164AC4" w:rsidRDefault="00415415" w:rsidP="00415415">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1.1. </w:t>
      </w:r>
      <w:r>
        <w:rPr>
          <w:rFonts w:ascii="Times New Roman" w:hAnsi="Times New Roman"/>
          <w:bCs/>
          <w:sz w:val="28"/>
          <w:szCs w:val="28"/>
        </w:rPr>
        <w:t>Методические рекомендации «Оценка существенности и рисков в ходе контрольных мероприятий»</w:t>
      </w:r>
      <w:r>
        <w:rPr>
          <w:rFonts w:ascii="Times New Roman" w:eastAsia="Times New Roman" w:hAnsi="Times New Roman" w:cs="Times New Roman"/>
          <w:sz w:val="28"/>
          <w:szCs w:val="28"/>
          <w:lang w:eastAsia="ru-RU"/>
        </w:rPr>
        <w:t xml:space="preserve"> (далее – Методические рекомендации) разработаны </w:t>
      </w:r>
      <w:r w:rsidR="0041227C">
        <w:rPr>
          <w:rFonts w:ascii="Times New Roman" w:eastAsia="Times New Roman" w:hAnsi="Times New Roman" w:cs="Times New Roman"/>
          <w:sz w:val="28"/>
          <w:szCs w:val="28"/>
          <w:lang w:eastAsia="ru-RU"/>
        </w:rPr>
        <w:t xml:space="preserve">с учетом </w:t>
      </w:r>
      <w:r w:rsidR="00164AC4">
        <w:rPr>
          <w:rFonts w:ascii="Times New Roman" w:eastAsia="Times New Roman" w:hAnsi="Times New Roman" w:cs="Times New Roman"/>
          <w:sz w:val="28"/>
          <w:szCs w:val="28"/>
          <w:lang w:eastAsia="ru-RU"/>
        </w:rPr>
        <w:t>стандарта внешнего муниципального финансового контроля «Общие правила проведения контрольного мероприятия», утвержденного постановлением Контрольно-счетной палатой города Курска от 20.02.2019 №4 (в редакции от 16.07.2024</w:t>
      </w:r>
      <w:r w:rsidR="00EB3153">
        <w:rPr>
          <w:rFonts w:ascii="Times New Roman" w:eastAsia="Times New Roman" w:hAnsi="Times New Roman" w:cs="Times New Roman"/>
          <w:sz w:val="28"/>
          <w:szCs w:val="28"/>
          <w:lang w:eastAsia="ru-RU"/>
        </w:rPr>
        <w:t xml:space="preserve"> </w:t>
      </w:r>
      <w:r w:rsidR="00164AC4">
        <w:rPr>
          <w:rFonts w:ascii="Times New Roman" w:eastAsia="Times New Roman" w:hAnsi="Times New Roman" w:cs="Times New Roman"/>
          <w:sz w:val="28"/>
          <w:szCs w:val="28"/>
          <w:lang w:eastAsia="ru-RU"/>
        </w:rPr>
        <w:t>№22), и предназначены для использования на всех этапах контрольного мероприятия, осуществляемого в пределах компетенции К</w:t>
      </w:r>
      <w:r w:rsidR="00375256" w:rsidRPr="003E7F95">
        <w:rPr>
          <w:rFonts w:ascii="Times New Roman" w:hAnsi="Times New Roman" w:cs="Times New Roman"/>
          <w:sz w:val="28"/>
          <w:szCs w:val="28"/>
        </w:rPr>
        <w:t>онтрольно-счетной палаты города Курска (далее – Контрольно-счетная палата)</w:t>
      </w:r>
      <w:r w:rsidR="00164AC4">
        <w:rPr>
          <w:rFonts w:ascii="Times New Roman" w:hAnsi="Times New Roman" w:cs="Times New Roman"/>
          <w:sz w:val="28"/>
          <w:szCs w:val="28"/>
        </w:rPr>
        <w:t>.</w:t>
      </w:r>
    </w:p>
    <w:p w:rsidR="00415415" w:rsidRDefault="00415415" w:rsidP="0041541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Задачами Методических рекомендаций являются: </w:t>
      </w:r>
    </w:p>
    <w:p w:rsidR="00415415" w:rsidRDefault="00415415" w:rsidP="0041541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содержания понятия существенности;</w:t>
      </w:r>
    </w:p>
    <w:p w:rsidR="00415415" w:rsidRDefault="00415415" w:rsidP="0041541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методов оценки существенности при проведении контрольных мероприятий;</w:t>
      </w:r>
    </w:p>
    <w:p w:rsidR="00415415" w:rsidRDefault="00415415" w:rsidP="0041541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методов оценки рисков при проведении контрольных мероприятий.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В Методических рекомендациях применяются следующие термины:</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аналитические процедуры</w:t>
      </w:r>
      <w:r>
        <w:rPr>
          <w:rFonts w:ascii="Times New Roman" w:eastAsia="Times New Roman" w:hAnsi="Times New Roman" w:cs="Times New Roman"/>
          <w:sz w:val="28"/>
          <w:szCs w:val="28"/>
          <w:lang w:eastAsia="ru-RU"/>
        </w:rPr>
        <w:t xml:space="preserve"> – контрольные процедуры, которые состоят в определении, анализе и оценке соотношений финансово-экономических показателей деятельности объекта контрольного мероприятия в целях определения особенностей его деятельности и возможных проблем в деятельности объекта контрольного мероприятия, требующих при проведении контрольного мероприятия особого внимания;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аудиторский риск</w:t>
      </w:r>
      <w:r>
        <w:rPr>
          <w:rFonts w:ascii="Times New Roman" w:eastAsia="Times New Roman" w:hAnsi="Times New Roman" w:cs="Times New Roman"/>
          <w:sz w:val="28"/>
          <w:szCs w:val="28"/>
          <w:lang w:eastAsia="ru-RU"/>
        </w:rPr>
        <w:t xml:space="preserve"> – вероятность того, что сформулированные в отчете по результатам контрольного мероприятия выводы и предложения (рекомендации) могут оказаться ненадлежащими (ошибочными) при условии, что информация, документы и материалы, представленные для проведения соответствующего контрольного мероприятия, существенно искажены, в том числе должностными лицами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значимое нарушение (искажение)</w:t>
      </w:r>
      <w:r>
        <w:rPr>
          <w:rFonts w:ascii="Times New Roman" w:eastAsia="Times New Roman" w:hAnsi="Times New Roman" w:cs="Times New Roman"/>
          <w:sz w:val="28"/>
          <w:szCs w:val="28"/>
          <w:lang w:eastAsia="ru-RU"/>
        </w:rPr>
        <w:t xml:space="preserve"> – нарушение (искажение), величина которого превышает рассчитанный уровень существенности (количественная оценка) или факт выявления которого влияет на формирование выводов о предмете проверки (качественная оценка);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контрольные процедуры</w:t>
      </w:r>
      <w:r>
        <w:rPr>
          <w:rFonts w:ascii="Times New Roman" w:eastAsia="Times New Roman" w:hAnsi="Times New Roman" w:cs="Times New Roman"/>
          <w:sz w:val="28"/>
          <w:szCs w:val="28"/>
          <w:lang w:eastAsia="ru-RU"/>
        </w:rPr>
        <w:t xml:space="preserve"> – определенный порядок действий для получения достаточного объема достоверных доказательств и формирования вывода об отсутствии значимых нарушений (искажений) в информации о предмете проверки;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нестандартные операции</w:t>
      </w:r>
      <w:r>
        <w:rPr>
          <w:rFonts w:ascii="Times New Roman" w:eastAsia="Times New Roman" w:hAnsi="Times New Roman" w:cs="Times New Roman"/>
          <w:sz w:val="28"/>
          <w:szCs w:val="28"/>
          <w:lang w:eastAsia="ru-RU"/>
        </w:rPr>
        <w:t xml:space="preserve"> – финансово-хозяйственные операции, осуществляемые объектом контроля в ходе своей деятельности, которые являются нетипичными для деятельности объекта контроля в силу их объема или характера;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приемлемый уровень риска</w:t>
      </w:r>
      <w:r>
        <w:rPr>
          <w:rFonts w:ascii="Times New Roman" w:eastAsia="Times New Roman" w:hAnsi="Times New Roman" w:cs="Times New Roman"/>
          <w:sz w:val="28"/>
          <w:szCs w:val="28"/>
          <w:lang w:eastAsia="ru-RU"/>
        </w:rPr>
        <w:t xml:space="preserve"> – допустимый уровень риска (высокий, средний, низкий), при котором можно получить разумную уверенность в том, </w:t>
      </w:r>
      <w:r>
        <w:rPr>
          <w:rFonts w:ascii="Times New Roman" w:eastAsia="Times New Roman" w:hAnsi="Times New Roman" w:cs="Times New Roman"/>
          <w:sz w:val="28"/>
          <w:szCs w:val="28"/>
          <w:lang w:eastAsia="ru-RU"/>
        </w:rPr>
        <w:lastRenderedPageBreak/>
        <w:t>что предмет проверки не содержит значимых нарушений (искажений), без проведения дополнительных контрольных процедур по его снижению;</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принцип существенности</w:t>
      </w:r>
      <w:r>
        <w:rPr>
          <w:rFonts w:ascii="Times New Roman" w:eastAsia="Times New Roman" w:hAnsi="Times New Roman" w:cs="Times New Roman"/>
          <w:sz w:val="28"/>
          <w:szCs w:val="28"/>
          <w:lang w:eastAsia="ru-RU"/>
        </w:rPr>
        <w:t xml:space="preserve"> – совокупность утверждений, положений и указаний по оценке существенности, закрепленных Методическими рекомендациями;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разумная уверенность</w:t>
      </w:r>
      <w:r>
        <w:rPr>
          <w:rFonts w:ascii="Times New Roman" w:eastAsia="Times New Roman" w:hAnsi="Times New Roman" w:cs="Times New Roman"/>
          <w:sz w:val="28"/>
          <w:szCs w:val="28"/>
          <w:lang w:eastAsia="ru-RU"/>
        </w:rPr>
        <w:t xml:space="preserve"> – высокая, но не абсолютная степень уверенности в достаточности и достоверности накопленных в ходе контрольного мероприятия доказательств, которая позволяет сделать вывод об отсутствии значимых нарушений (искажений) в информации о предмете проверки;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существенность</w:t>
      </w:r>
      <w:r>
        <w:rPr>
          <w:rFonts w:ascii="Times New Roman" w:eastAsia="Times New Roman" w:hAnsi="Times New Roman" w:cs="Times New Roman"/>
          <w:sz w:val="28"/>
          <w:szCs w:val="28"/>
          <w:lang w:eastAsia="ru-RU"/>
        </w:rPr>
        <w:t xml:space="preserve"> – свойство информации влиять на решения, принимаемые пользователями информации (далее также – пользователи), о предмете проверки в случае ее пропуска, искажения или маскировки (информация является замаскированной, если она представляется таким образом, что результат для пользователей информации о предмете проверки будет аналогичен пропуску или искажению такой информации);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элемент (показатель) предмета проверки</w:t>
      </w:r>
      <w:r>
        <w:rPr>
          <w:rFonts w:ascii="Times New Roman" w:eastAsia="Times New Roman" w:hAnsi="Times New Roman" w:cs="Times New Roman"/>
          <w:sz w:val="28"/>
          <w:szCs w:val="28"/>
          <w:lang w:eastAsia="ru-RU"/>
        </w:rPr>
        <w:t xml:space="preserve"> – составляющая часть информации о предмете проверки, например, статья, строка.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Pr="00C547D8" w:rsidRDefault="00415415" w:rsidP="00C547D8">
      <w:pPr>
        <w:pStyle w:val="a6"/>
        <w:ind w:left="2124" w:firstLine="708"/>
        <w:rPr>
          <w:rFonts w:ascii="Times New Roman" w:hAnsi="Times New Roman" w:cs="Times New Roman"/>
          <w:b/>
          <w:sz w:val="28"/>
          <w:szCs w:val="28"/>
        </w:rPr>
      </w:pPr>
      <w:bookmarkStart w:id="5" w:name="_Toc182821749"/>
      <w:bookmarkStart w:id="6" w:name="_Toc182821920"/>
      <w:bookmarkStart w:id="7" w:name="_Toc63104285"/>
      <w:r w:rsidRPr="00C547D8">
        <w:rPr>
          <w:rFonts w:ascii="Times New Roman" w:hAnsi="Times New Roman" w:cs="Times New Roman"/>
          <w:b/>
          <w:sz w:val="28"/>
          <w:szCs w:val="28"/>
        </w:rPr>
        <w:t>2. Оценка существенности</w:t>
      </w:r>
      <w:bookmarkEnd w:id="5"/>
      <w:bookmarkEnd w:id="6"/>
    </w:p>
    <w:p w:rsidR="00415415" w:rsidRPr="00C547D8" w:rsidRDefault="00415415" w:rsidP="00C547D8">
      <w:pPr>
        <w:pStyle w:val="a6"/>
        <w:rPr>
          <w:rFonts w:ascii="Times New Roman" w:hAnsi="Times New Roman" w:cs="Times New Roman"/>
          <w:b/>
          <w:sz w:val="28"/>
          <w:szCs w:val="28"/>
        </w:rPr>
      </w:pPr>
    </w:p>
    <w:p w:rsidR="00415415" w:rsidRDefault="00C547D8" w:rsidP="00C547D8">
      <w:pPr>
        <w:pStyle w:val="a6"/>
        <w:rPr>
          <w:rFonts w:ascii="Times New Roman" w:hAnsi="Times New Roman" w:cs="Times New Roman"/>
          <w:b/>
          <w:sz w:val="28"/>
          <w:szCs w:val="28"/>
        </w:rPr>
      </w:pPr>
      <w:bookmarkStart w:id="8" w:name="_Toc182821750"/>
      <w:bookmarkStart w:id="9" w:name="_Toc182821921"/>
      <w:r>
        <w:rPr>
          <w:rFonts w:ascii="Times New Roman" w:hAnsi="Times New Roman" w:cs="Times New Roman"/>
          <w:b/>
          <w:sz w:val="28"/>
          <w:szCs w:val="28"/>
        </w:rPr>
        <w:t xml:space="preserve">                                    </w:t>
      </w:r>
      <w:r w:rsidR="00415415" w:rsidRPr="00C547D8">
        <w:rPr>
          <w:rFonts w:ascii="Times New Roman" w:hAnsi="Times New Roman" w:cs="Times New Roman"/>
          <w:b/>
          <w:sz w:val="28"/>
          <w:szCs w:val="28"/>
        </w:rPr>
        <w:t>2.1. Применение существенности</w:t>
      </w:r>
      <w:bookmarkEnd w:id="8"/>
      <w:bookmarkEnd w:id="9"/>
    </w:p>
    <w:p w:rsidR="00164AC4" w:rsidRPr="00C547D8" w:rsidRDefault="00164AC4" w:rsidP="00C547D8">
      <w:pPr>
        <w:pStyle w:val="a6"/>
        <w:rPr>
          <w:rFonts w:ascii="Times New Roman" w:hAnsi="Times New Roman" w:cs="Times New Roman"/>
          <w:b/>
          <w:sz w:val="28"/>
          <w:szCs w:val="28"/>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2.1.1. В ходе проведения контрольного мероприятия </w:t>
      </w:r>
      <w:r w:rsidR="00767552">
        <w:rPr>
          <w:rFonts w:ascii="Times New Roman" w:eastAsia="Times New Roman" w:hAnsi="Times New Roman" w:cs="Times New Roman"/>
          <w:sz w:val="28"/>
          <w:szCs w:val="28"/>
          <w:lang w:eastAsia="ru-RU"/>
        </w:rPr>
        <w:t xml:space="preserve">членам </w:t>
      </w:r>
      <w:r w:rsidR="00842ADD">
        <w:rPr>
          <w:rFonts w:ascii="Times New Roman" w:eastAsia="Times New Roman" w:hAnsi="Times New Roman" w:cs="Times New Roman"/>
          <w:sz w:val="28"/>
          <w:szCs w:val="28"/>
          <w:lang w:eastAsia="ru-RU"/>
        </w:rPr>
        <w:t xml:space="preserve">рабочей </w:t>
      </w:r>
      <w:r>
        <w:rPr>
          <w:rFonts w:ascii="Times New Roman" w:eastAsia="Times New Roman" w:hAnsi="Times New Roman" w:cs="Times New Roman"/>
          <w:sz w:val="28"/>
          <w:szCs w:val="28"/>
          <w:lang w:eastAsia="ru-RU"/>
        </w:rPr>
        <w:t>группы следует:</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применять принцип существенности;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проводить предварительное изучение объекта контроля, в том числе организации внутреннего финансового контроля, в целях применения принципа существенности;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выявлять и оценивать риски, присущие объекту контроля и контрольному мероприятию;</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получать достаточное количество достоверных доказательств, свидетельствующих о наличии или об отсутствии значимых нарушений (искажений) в деятельности объекта контроля, с помощью разработки и внедрения соответствующих контрольных процедур, направленных на снижение рисков до приемлемого уровня;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формировать выводы о достоверности информации о предмете проверки, основываясь на разумной уверенности, базирующейся на накопленных аудиторских доказательствах, полученных в ходе проведения контрольных процедур, и на принципе существенности;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применять профессиональное суждение и придерживаться принципа профессионального скептицизма.</w:t>
      </w:r>
    </w:p>
    <w:p w:rsidR="004A648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2.1.2. Применение принципа существенности необходимо для определения достоверности информации о предмете проверки.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Под достоверностью информации понимается не абсолютная точность </w:t>
      </w:r>
      <w:r>
        <w:rPr>
          <w:rFonts w:ascii="Times New Roman" w:eastAsia="Times New Roman" w:hAnsi="Times New Roman" w:cs="Times New Roman"/>
          <w:sz w:val="28"/>
          <w:szCs w:val="28"/>
          <w:lang w:eastAsia="ru-RU"/>
        </w:rPr>
        <w:lastRenderedPageBreak/>
        <w:t>данных, а такая степень точности, которая позволяет пользователям этой информации принимать обоснованные решения.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 На достоверность информации о предмете проверки оказывают влияние выявленные в ходе проведения контрольного мероприятия значимые нарушения (искажения), рассматриваемые как по отдельности, так и в совокупности, которые повлекли пропуск и (или) искажение той информации о предмете проверки, которая необходима для принятия решений пользователями.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 Оценка существенности является предметом профессионального суждения членов рабочей группы и зависит от понимания потребностей пользователей информации о предмете проверки.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 Оценка существенности должна проводиться с учетом предположений о том, что пользователи: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обладают осведомленностью о специфике деятельности объекта контроля, а также о применяемых принципах учета;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понимают, что проверка осуществляется с учетом принципа существенности;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признают неопределенность, присущую оценочным значениям и прогнозированию будущих событий;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принимают обоснованные решения на основе представленной информации о предмете проверки.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pacing w:val="-4"/>
          <w:sz w:val="28"/>
          <w:szCs w:val="28"/>
          <w:lang w:eastAsia="ru-RU"/>
        </w:rPr>
      </w:pPr>
      <w:r>
        <w:rPr>
          <w:rFonts w:ascii="Times New Roman" w:eastAsia="Times New Roman" w:hAnsi="Times New Roman" w:cs="Times New Roman"/>
          <w:spacing w:val="-4"/>
          <w:sz w:val="28"/>
          <w:szCs w:val="28"/>
          <w:lang w:eastAsia="ru-RU"/>
        </w:rPr>
        <w:t xml:space="preserve">2.1.6. Профессиональное суждение относительно существенности применяется с учетом всех сопутствующих обстоятельств, и на него оказывают влияние такие факторы, как величина (количественная оценка), или характер (качественная оценка) выявленных нарушений (искажений), или оба эти фактора одновременно.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4"/>
          <w:sz w:val="28"/>
          <w:szCs w:val="28"/>
          <w:lang w:eastAsia="ru-RU"/>
        </w:rPr>
        <w:t xml:space="preserve">2.1.7. Профессиональные суждения относительно существенности тех или иных вопросов для пользователей </w:t>
      </w:r>
      <w:r>
        <w:rPr>
          <w:rFonts w:ascii="Times New Roman" w:eastAsia="Times New Roman" w:hAnsi="Times New Roman" w:cs="Times New Roman"/>
          <w:sz w:val="28"/>
          <w:szCs w:val="28"/>
          <w:lang w:eastAsia="ru-RU"/>
        </w:rPr>
        <w:t>выносятся</w:t>
      </w:r>
      <w:r>
        <w:rPr>
          <w:rFonts w:ascii="Times New Roman" w:eastAsia="Times New Roman" w:hAnsi="Times New Roman" w:cs="Times New Roman"/>
          <w:spacing w:val="-4"/>
          <w:sz w:val="28"/>
          <w:szCs w:val="28"/>
          <w:lang w:eastAsia="ru-RU"/>
        </w:rPr>
        <w:t xml:space="preserve"> исходя из потребностей всех пользователей в целом.</w:t>
      </w:r>
      <w:r>
        <w:rPr>
          <w:rFonts w:ascii="Times New Roman" w:eastAsia="Times New Roman" w:hAnsi="Times New Roman" w:cs="Times New Roman"/>
          <w:kern w:val="8"/>
          <w:sz w:val="28"/>
          <w:szCs w:val="28"/>
          <w:vertAlign w:val="superscript"/>
          <w:lang w:eastAsia="ru-RU" w:bidi="he-IL"/>
        </w:rPr>
        <w:t xml:space="preserve"> </w:t>
      </w:r>
    </w:p>
    <w:p w:rsidR="00415415" w:rsidRDefault="00415415" w:rsidP="00415415">
      <w:pPr>
        <w:widowControl w:val="0"/>
        <w:autoSpaceDE w:val="0"/>
        <w:autoSpaceDN w:val="0"/>
        <w:spacing w:after="0" w:line="240" w:lineRule="auto"/>
        <w:jc w:val="both"/>
        <w:outlineLvl w:val="1"/>
        <w:rPr>
          <w:rFonts w:ascii="Times New Roman" w:eastAsia="Times New Roman" w:hAnsi="Times New Roman" w:cs="Times New Roman"/>
          <w:sz w:val="28"/>
          <w:szCs w:val="28"/>
          <w:lang w:eastAsia="ru-RU"/>
        </w:rPr>
      </w:pPr>
    </w:p>
    <w:p w:rsidR="00415415" w:rsidRDefault="00B15BC6" w:rsidP="00B15BC6">
      <w:pPr>
        <w:pStyle w:val="a6"/>
        <w:ind w:left="1416" w:firstLine="708"/>
        <w:rPr>
          <w:rFonts w:ascii="Times New Roman" w:hAnsi="Times New Roman" w:cs="Times New Roman"/>
          <w:b/>
          <w:sz w:val="28"/>
          <w:szCs w:val="28"/>
        </w:rPr>
      </w:pPr>
      <w:bookmarkStart w:id="10" w:name="_Toc182821751"/>
      <w:bookmarkStart w:id="11" w:name="_Toc182821922"/>
      <w:r>
        <w:rPr>
          <w:rFonts w:ascii="Times New Roman" w:hAnsi="Times New Roman" w:cs="Times New Roman"/>
          <w:b/>
          <w:sz w:val="28"/>
          <w:szCs w:val="28"/>
        </w:rPr>
        <w:t xml:space="preserve">  </w:t>
      </w:r>
      <w:r w:rsidR="00415415" w:rsidRPr="00B15BC6">
        <w:rPr>
          <w:rFonts w:ascii="Times New Roman" w:hAnsi="Times New Roman" w:cs="Times New Roman"/>
          <w:b/>
          <w:sz w:val="28"/>
          <w:szCs w:val="28"/>
        </w:rPr>
        <w:t>2.2. Оценка уровня существенности</w:t>
      </w:r>
      <w:bookmarkEnd w:id="10"/>
      <w:bookmarkEnd w:id="11"/>
    </w:p>
    <w:p w:rsidR="00164AC4" w:rsidRPr="00B15BC6" w:rsidRDefault="00164AC4" w:rsidP="00B15BC6">
      <w:pPr>
        <w:pStyle w:val="a6"/>
        <w:ind w:left="1416" w:firstLine="708"/>
        <w:rPr>
          <w:rFonts w:ascii="Times New Roman" w:hAnsi="Times New Roman" w:cs="Times New Roman"/>
          <w:b/>
          <w:sz w:val="28"/>
          <w:szCs w:val="28"/>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2.2.1. Принцип существенности используется: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в ходе подготовки программы проведения контрольного мероприятия в целях:</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выявления и оценки рисков, присущих объекту контроля и контрольному мероприятию;</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определения содержания, сроков и объема контрольных процедур, в том числе для определения элементов (показателей) предмета проверки, в отношении которых необходимо провести контрольные процедуры, и элементов (показателей), в отношении которых проведения контрольных процедур не требуется;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при выполнении контрольных процедур для определения содержания и объема необходимых контрольных процедур;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 при подготовке отчета о результатах контрольного мероприятия для оценки совокупной величины выявленных нарушений (искажений) и их влияния на достоверность информации о предмете проверки.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2.2.2. На оценку достоверности информации о предмете проверки в первую очередь влияют значимые нарушения (искажения). При оценке влияния выявленных нарушений (искажений) на достоверность информации о предмете проверки следует учитывать, что отдельные выявленные нарушения (искажения) могут не иметь существенного влияния, однако такие нарушения (искажения), взятые в совокупности, а также вместе с нарушениями (искажениями), распространенными на весь объем данных по результатам выборочной проверки, могут оказать существенное влияние на достоверность информации о предмете проверки.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2.2.3. Совокупная величина выявленных нарушений (искажений) определяется как сумма выявленных нарушений (искажений) по всем элементам (показателям) предмета проверки с учетом их положительного или отрицательного влияния на итоговые (результирующие) элементы (показатели) предмета проверки. При выявлении нарушений (искажений) ниже уровня существенности члены рабочей группы фиксируют факт выявления нарушения в соответствии с требованиями стандарта внешнего муниципального финансового контроля</w:t>
      </w:r>
      <w:r>
        <w:rPr>
          <w:rFonts w:ascii="Times New Roman" w:hAnsi="Times New Roman" w:cs="Times New Roman"/>
          <w:sz w:val="28"/>
          <w:szCs w:val="28"/>
        </w:rPr>
        <w:t>, устанавливающего общие требования, правила и процедуры проведения контрольного мероприятия</w:t>
      </w:r>
      <w:r>
        <w:rPr>
          <w:rFonts w:ascii="Times New Roman" w:eastAsia="Times New Roman" w:hAnsi="Times New Roman" w:cs="Times New Roman"/>
          <w:sz w:val="28"/>
          <w:szCs w:val="28"/>
          <w:lang w:eastAsia="ru-RU"/>
        </w:rPr>
        <w:t xml:space="preserve">. На заключительном этапе члены рабочей группы оценивают совокупную величину всех выявленных нарушений (искажений) и делают вывод о влиянии выявленных нарушений (искажений) на достоверность информации о предмете проверки. </w:t>
      </w:r>
    </w:p>
    <w:p w:rsidR="00415415" w:rsidRDefault="00415415" w:rsidP="0041541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2.2.4. При вынесении профессионального суждения о существенности совокупной величины </w:t>
      </w:r>
      <w:r>
        <w:rPr>
          <w:rFonts w:ascii="Times New Roman" w:eastAsia="Times New Roman" w:hAnsi="Times New Roman" w:cs="Times New Roman"/>
          <w:sz w:val="28"/>
          <w:szCs w:val="28"/>
        </w:rPr>
        <w:t xml:space="preserve">выявленных нарушений (искажений) </w:t>
      </w:r>
      <w:r>
        <w:rPr>
          <w:rFonts w:ascii="Times New Roman" w:eastAsia="Times New Roman" w:hAnsi="Times New Roman" w:cs="Times New Roman"/>
          <w:sz w:val="28"/>
          <w:szCs w:val="28"/>
          <w:lang w:eastAsia="ru-RU"/>
        </w:rPr>
        <w:t>члены рабочей группы</w:t>
      </w:r>
      <w:r>
        <w:rPr>
          <w:rFonts w:ascii="Times New Roman" w:eastAsia="Times New Roman" w:hAnsi="Times New Roman" w:cs="Times New Roman"/>
          <w:color w:val="000000"/>
          <w:sz w:val="28"/>
          <w:szCs w:val="28"/>
          <w:lang w:eastAsia="ru-RU"/>
        </w:rPr>
        <w:t xml:space="preserve"> должны рассмотреть следующие вопросы:</w:t>
      </w:r>
    </w:p>
    <w:p w:rsidR="00415415" w:rsidRDefault="00415415" w:rsidP="0041541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размер и характер нарушений (искажений) как в отношении отдельных элементов (показателей) предмета </w:t>
      </w:r>
      <w:r>
        <w:rPr>
          <w:rFonts w:ascii="Times New Roman" w:eastAsia="Times New Roman" w:hAnsi="Times New Roman" w:cs="Times New Roman"/>
          <w:sz w:val="28"/>
          <w:szCs w:val="28"/>
        </w:rPr>
        <w:t>проверки</w:t>
      </w:r>
      <w:r>
        <w:rPr>
          <w:rFonts w:ascii="Times New Roman" w:eastAsia="Times New Roman" w:hAnsi="Times New Roman" w:cs="Times New Roman"/>
          <w:color w:val="000000"/>
          <w:sz w:val="28"/>
          <w:szCs w:val="28"/>
          <w:lang w:eastAsia="ru-RU"/>
        </w:rPr>
        <w:t xml:space="preserve">, так и в отношении предмета </w:t>
      </w:r>
      <w:r>
        <w:rPr>
          <w:rFonts w:ascii="Times New Roman" w:eastAsia="Times New Roman" w:hAnsi="Times New Roman" w:cs="Times New Roman"/>
          <w:sz w:val="28"/>
          <w:szCs w:val="28"/>
        </w:rPr>
        <w:t>проверки</w:t>
      </w:r>
      <w:r>
        <w:rPr>
          <w:rFonts w:ascii="Times New Roman" w:eastAsia="Times New Roman" w:hAnsi="Times New Roman" w:cs="Times New Roman"/>
          <w:color w:val="000000"/>
          <w:sz w:val="28"/>
          <w:szCs w:val="28"/>
          <w:lang w:eastAsia="ru-RU"/>
        </w:rPr>
        <w:t xml:space="preserve"> в целом, а также причины и условия возникновения таких нарушений (искажений);</w:t>
      </w:r>
    </w:p>
    <w:p w:rsidR="00415415" w:rsidRDefault="00415415" w:rsidP="0041541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влияние неустранимых нарушений (искажений), относящихся к предшествующим периодам, на соответствующие элементы (показатели) предмета </w:t>
      </w:r>
      <w:r>
        <w:rPr>
          <w:rFonts w:ascii="Times New Roman" w:eastAsia="Times New Roman" w:hAnsi="Times New Roman" w:cs="Times New Roman"/>
          <w:sz w:val="28"/>
          <w:szCs w:val="28"/>
        </w:rPr>
        <w:t>проверки</w:t>
      </w:r>
      <w:r>
        <w:rPr>
          <w:rFonts w:ascii="Times New Roman" w:eastAsia="Times New Roman" w:hAnsi="Times New Roman" w:cs="Times New Roman"/>
          <w:color w:val="000000"/>
          <w:sz w:val="28"/>
          <w:szCs w:val="28"/>
          <w:lang w:eastAsia="ru-RU"/>
        </w:rPr>
        <w:t xml:space="preserve"> и на предмет </w:t>
      </w:r>
      <w:r>
        <w:rPr>
          <w:rFonts w:ascii="Times New Roman" w:eastAsia="Times New Roman" w:hAnsi="Times New Roman" w:cs="Times New Roman"/>
          <w:sz w:val="28"/>
          <w:szCs w:val="28"/>
        </w:rPr>
        <w:t>проверки</w:t>
      </w:r>
      <w:r>
        <w:rPr>
          <w:rFonts w:ascii="Times New Roman" w:eastAsia="Times New Roman" w:hAnsi="Times New Roman" w:cs="Times New Roman"/>
          <w:color w:val="000000"/>
          <w:sz w:val="28"/>
          <w:szCs w:val="28"/>
          <w:lang w:eastAsia="ru-RU"/>
        </w:rPr>
        <w:t xml:space="preserve"> в целом при наличии соответствующей информации, полученной по результатам предшествующих контрольных мероприятий.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2.2.5. Оценка существенности должна проводиться с качественной и количественной сторон.</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2.2.6. Качественная оценка применяется в отношении определения характера элемента (показателя)/нарушения (искажения) предмета проверки вне зависимости от наличия и величины реального и (или) потенциального негативного количественного эффекта, связанного с их искажением. Эта оценка необходима, так как различные элементы (показатели)/нарушения (искажения) предмета проверки с точки зрения степени влияния на решения, принимаемые </w:t>
      </w:r>
      <w:r>
        <w:rPr>
          <w:rFonts w:ascii="Times New Roman" w:eastAsia="Times New Roman" w:hAnsi="Times New Roman" w:cs="Times New Roman"/>
          <w:sz w:val="28"/>
          <w:szCs w:val="28"/>
          <w:lang w:eastAsia="ru-RU"/>
        </w:rPr>
        <w:lastRenderedPageBreak/>
        <w:t xml:space="preserve">пользователями, имеют разную степень значимости для пользователей.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2.2.7. Качественная характеристика существенности определяется на основании профессионального суждения и отвечает на вопрос, является ли элемент (показатель)/нарушение (искажение) предмета проверки значимым.</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2.2.8. Количественная оценка существенности применяется в отношении определения величины элемента (показателя)/нарушения (искажения) предмета проверки и совокупной величины выявленных нарушений (искажений).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2.2.9. Оценка существенности элемента (показателя)/нарушения (искажения) и совокупной величины выявленных нарушений (искажений) предмета проверки с количественной точки зрения заключается в определении того, превышают ли значение элемента (показателя)/нарушение (искажение) и совокупная величина выявленных нарушений заданный уровень существенности.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2.2.10. Уровень существенности – количественная мера, представляющая собой предельную величину нарушения (искажения) информации о предмете проверки, при достижении и превышении которой пользователь не сможет сделать правильные выводы и принять обоснованные решения, так как нужный элемент (показатель) пропущен или искажен. </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2.2.11. Уровень существенности устанавливается на основании выбранных контрольного показателя и порогового значения. </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2.2.12. Уровень существенности рассчитывается по следующей формуле:</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noProof/>
          <w:lang w:eastAsia="ru-RU"/>
        </w:rPr>
        <mc:AlternateContent>
          <mc:Choice Requires="wpg">
            <w:drawing>
              <wp:anchor distT="0" distB="0" distL="114300" distR="114300" simplePos="0" relativeHeight="251659264" behindDoc="0" locked="0" layoutInCell="1" allowOverlap="1" wp14:anchorId="610BA6C0" wp14:editId="1708FED3">
                <wp:simplePos x="0" y="0"/>
                <wp:positionH relativeFrom="margin">
                  <wp:posOffset>126365</wp:posOffset>
                </wp:positionH>
                <wp:positionV relativeFrom="paragraph">
                  <wp:posOffset>133985</wp:posOffset>
                </wp:positionV>
                <wp:extent cx="5684520" cy="1203325"/>
                <wp:effectExtent l="0" t="0" r="0" b="0"/>
                <wp:wrapNone/>
                <wp:docPr id="1" name="Группа 1"/>
                <wp:cNvGraphicFramePr/>
                <a:graphic xmlns:a="http://schemas.openxmlformats.org/drawingml/2006/main">
                  <a:graphicData uri="http://schemas.microsoft.com/office/word/2010/wordprocessingGroup">
                    <wpg:wgp>
                      <wpg:cNvGrpSpPr/>
                      <wpg:grpSpPr>
                        <a:xfrm>
                          <a:off x="0" y="0"/>
                          <a:ext cx="5684520" cy="1203325"/>
                          <a:chOff x="0" y="0"/>
                          <a:chExt cx="5288936" cy="1203575"/>
                        </a:xfrm>
                      </wpg:grpSpPr>
                      <wps:wsp>
                        <wps:cNvPr id="10" name="Прямоугольник 10"/>
                        <wps:cNvSpPr/>
                        <wps:spPr>
                          <a:xfrm>
                            <a:off x="0" y="0"/>
                            <a:ext cx="5111693" cy="704850"/>
                          </a:xfrm>
                          <a:prstGeom prst="rect">
                            <a:avLst/>
                          </a:prstGeom>
                          <a:noFill/>
                          <a:ln w="12700" cap="flat" cmpd="sng" algn="ctr">
                            <a:solidFill>
                              <a:sysClr val="window" lastClr="FFFFFF"/>
                            </a:solidFill>
                            <a:prstDash val="solid"/>
                            <a:miter lim="800000"/>
                          </a:ln>
                          <a:effectLst/>
                        </wps:spPr>
                        <wps:bodyPr rtlCol="0" anchor="ctr"/>
                      </wps:wsp>
                      <wpg:grpSp>
                        <wpg:cNvPr id="11" name="Группа 11"/>
                        <wpg:cNvGrpSpPr/>
                        <wpg:grpSpPr>
                          <a:xfrm>
                            <a:off x="133335" y="89785"/>
                            <a:ext cx="5155601" cy="1113790"/>
                            <a:chOff x="133335" y="89785"/>
                            <a:chExt cx="5155601" cy="1113790"/>
                          </a:xfrm>
                        </wpg:grpSpPr>
                        <wps:wsp>
                          <wps:cNvPr id="12" name="TextBox 2"/>
                          <wps:cNvSpPr txBox="1"/>
                          <wps:spPr>
                            <a:xfrm>
                              <a:off x="133335" y="98090"/>
                              <a:ext cx="1615464" cy="765510"/>
                            </a:xfrm>
                            <a:prstGeom prst="rect">
                              <a:avLst/>
                            </a:prstGeom>
                            <a:noFill/>
                            <a:ln>
                              <a:noFill/>
                            </a:ln>
                          </wps:spPr>
                          <wps:txbx>
                            <w:txbxContent>
                              <w:p w:rsidR="004C512E" w:rsidRDefault="004C512E" w:rsidP="00415415">
                                <w:pPr>
                                  <w:pStyle w:val="a3"/>
                                  <w:spacing w:after="0"/>
                                  <w:jc w:val="center"/>
                                </w:pPr>
                                <w:r>
                                  <w:rPr>
                                    <w:b/>
                                    <w:bCs/>
                                    <w:i/>
                                    <w:iCs/>
                                    <w:color w:val="000000" w:themeColor="text1"/>
                                    <w:kern w:val="24"/>
                                    <w:sz w:val="28"/>
                                    <w:szCs w:val="28"/>
                                  </w:rPr>
                                  <w:t>уровень</w:t>
                                </w:r>
                              </w:p>
                              <w:p w:rsidR="004C512E" w:rsidRDefault="004C512E" w:rsidP="00415415">
                                <w:pPr>
                                  <w:pStyle w:val="a3"/>
                                  <w:spacing w:after="0"/>
                                  <w:jc w:val="center"/>
                                </w:pPr>
                                <w:r>
                                  <w:rPr>
                                    <w:b/>
                                    <w:bCs/>
                                    <w:i/>
                                    <w:iCs/>
                                    <w:color w:val="000000" w:themeColor="text1"/>
                                    <w:kern w:val="24"/>
                                    <w:sz w:val="28"/>
                                    <w:szCs w:val="28"/>
                                  </w:rPr>
                                  <w:t>существенности (руб.)</w:t>
                                </w:r>
                              </w:p>
                            </w:txbxContent>
                          </wps:txbx>
                          <wps:bodyPr wrap="square" rtlCol="0">
                            <a:noAutofit/>
                          </wps:bodyPr>
                        </wps:wsp>
                        <wps:wsp>
                          <wps:cNvPr id="13" name="TextBox 13"/>
                          <wps:cNvSpPr txBox="1"/>
                          <wps:spPr>
                            <a:xfrm>
                              <a:off x="1948644" y="90588"/>
                              <a:ext cx="1583690" cy="500380"/>
                            </a:xfrm>
                            <a:prstGeom prst="rect">
                              <a:avLst/>
                            </a:prstGeom>
                            <a:noFill/>
                            <a:ln>
                              <a:noFill/>
                            </a:ln>
                          </wps:spPr>
                          <wps:txbx>
                            <w:txbxContent>
                              <w:p w:rsidR="004C512E" w:rsidRDefault="004C512E" w:rsidP="00415415">
                                <w:pPr>
                                  <w:pStyle w:val="a3"/>
                                  <w:spacing w:after="0"/>
                                  <w:jc w:val="center"/>
                                </w:pPr>
                                <w:r>
                                  <w:rPr>
                                    <w:b/>
                                    <w:bCs/>
                                    <w:i/>
                                    <w:iCs/>
                                    <w:color w:val="000000" w:themeColor="text1"/>
                                    <w:kern w:val="24"/>
                                    <w:sz w:val="28"/>
                                    <w:szCs w:val="28"/>
                                  </w:rPr>
                                  <w:t>контрольный</w:t>
                                </w:r>
                              </w:p>
                              <w:p w:rsidR="004C512E" w:rsidRDefault="004C512E" w:rsidP="00415415">
                                <w:pPr>
                                  <w:pStyle w:val="a3"/>
                                  <w:spacing w:after="0"/>
                                  <w:jc w:val="center"/>
                                </w:pPr>
                                <w:r>
                                  <w:rPr>
                                    <w:b/>
                                    <w:bCs/>
                                    <w:i/>
                                    <w:iCs/>
                                    <w:color w:val="000000" w:themeColor="text1"/>
                                    <w:kern w:val="24"/>
                                    <w:sz w:val="28"/>
                                    <w:szCs w:val="28"/>
                                  </w:rPr>
                                  <w:t>показатель (руб.)</w:t>
                                </w:r>
                              </w:p>
                            </w:txbxContent>
                          </wps:txbx>
                          <wps:bodyPr wrap="square" rtlCol="0">
                            <a:noAutofit/>
                          </wps:bodyPr>
                        </wps:wsp>
                        <wps:wsp>
                          <wps:cNvPr id="14" name="TextBox 15"/>
                          <wps:cNvSpPr txBox="1"/>
                          <wps:spPr>
                            <a:xfrm>
                              <a:off x="3821232" y="89785"/>
                              <a:ext cx="1467704" cy="1113790"/>
                            </a:xfrm>
                            <a:prstGeom prst="rect">
                              <a:avLst/>
                            </a:prstGeom>
                            <a:noFill/>
                            <a:ln>
                              <a:noFill/>
                            </a:ln>
                          </wps:spPr>
                          <wps:txbx>
                            <w:txbxContent>
                              <w:p w:rsidR="004C512E" w:rsidRDefault="004C512E" w:rsidP="00415415">
                                <w:pPr>
                                  <w:pStyle w:val="a3"/>
                                  <w:spacing w:after="0"/>
                                  <w:jc w:val="center"/>
                                </w:pPr>
                                <w:r>
                                  <w:rPr>
                                    <w:b/>
                                    <w:bCs/>
                                    <w:i/>
                                    <w:iCs/>
                                    <w:color w:val="000000" w:themeColor="text1"/>
                                    <w:kern w:val="24"/>
                                    <w:sz w:val="28"/>
                                    <w:szCs w:val="28"/>
                                  </w:rPr>
                                  <w:t xml:space="preserve">пороговое </w:t>
                                </w:r>
                              </w:p>
                              <w:p w:rsidR="004C512E" w:rsidRDefault="004C512E" w:rsidP="00415415">
                                <w:pPr>
                                  <w:pStyle w:val="a3"/>
                                  <w:spacing w:after="0"/>
                                  <w:jc w:val="center"/>
                                </w:pPr>
                                <w:r>
                                  <w:rPr>
                                    <w:b/>
                                    <w:bCs/>
                                    <w:i/>
                                    <w:iCs/>
                                    <w:color w:val="000000" w:themeColor="text1"/>
                                    <w:kern w:val="24"/>
                                    <w:sz w:val="28"/>
                                    <w:szCs w:val="28"/>
                                  </w:rPr>
                                  <w:t>значение (%)</w:t>
                                </w:r>
                              </w:p>
                            </w:txbxContent>
                          </wps:txbx>
                          <wps:bodyPr wrap="square" rtlCol="0">
                            <a:noAutofit/>
                          </wps:bodyPr>
                        </wps:wsp>
                        <wps:wsp>
                          <wps:cNvPr id="15" name="TextBox 16"/>
                          <wps:cNvSpPr txBox="1"/>
                          <wps:spPr>
                            <a:xfrm>
                              <a:off x="3530014" y="198310"/>
                              <a:ext cx="284285" cy="307777"/>
                            </a:xfrm>
                            <a:prstGeom prst="rect">
                              <a:avLst/>
                            </a:prstGeom>
                            <a:noFill/>
                            <a:ln>
                              <a:noFill/>
                            </a:ln>
                          </wps:spPr>
                          <wps:txbx>
                            <w:txbxContent>
                              <w:p w:rsidR="004C512E" w:rsidRDefault="004C512E" w:rsidP="00415415">
                                <w:pPr>
                                  <w:pStyle w:val="a3"/>
                                  <w:spacing w:after="0"/>
                                  <w:jc w:val="center"/>
                                </w:pPr>
                                <w:r>
                                  <w:rPr>
                                    <w:rFonts w:asciiTheme="minorHAnsi" w:hAnsi="Calibri"/>
                                    <w:b/>
                                    <w:bCs/>
                                    <w:i/>
                                    <w:iCs/>
                                    <w:color w:val="000000" w:themeColor="text1"/>
                                    <w:kern w:val="24"/>
                                    <w:sz w:val="28"/>
                                    <w:szCs w:val="28"/>
                                  </w:rPr>
                                  <w:t>Х</w:t>
                                </w:r>
                              </w:p>
                            </w:txbxContent>
                          </wps:txbx>
                          <wps:bodyPr wrap="square" rtlCol="0">
                            <a:noAutofit/>
                          </wps:bodyPr>
                        </wps:wsp>
                        <wps:wsp>
                          <wps:cNvPr id="16" name="TextBox 17"/>
                          <wps:cNvSpPr txBox="1"/>
                          <wps:spPr>
                            <a:xfrm>
                              <a:off x="1673372" y="198310"/>
                              <a:ext cx="284285" cy="307777"/>
                            </a:xfrm>
                            <a:prstGeom prst="rect">
                              <a:avLst/>
                            </a:prstGeom>
                            <a:noFill/>
                            <a:ln>
                              <a:noFill/>
                            </a:ln>
                          </wps:spPr>
                          <wps:txbx>
                            <w:txbxContent>
                              <w:p w:rsidR="004C512E" w:rsidRDefault="004C512E" w:rsidP="00415415">
                                <w:pPr>
                                  <w:pStyle w:val="a3"/>
                                  <w:spacing w:after="0"/>
                                  <w:jc w:val="center"/>
                                </w:pPr>
                                <w:r>
                                  <w:rPr>
                                    <w:rFonts w:asciiTheme="minorHAnsi" w:hAnsi="Calibri"/>
                                    <w:b/>
                                    <w:bCs/>
                                    <w:i/>
                                    <w:iCs/>
                                    <w:color w:val="000000" w:themeColor="text1"/>
                                    <w:kern w:val="24"/>
                                    <w:sz w:val="28"/>
                                    <w:szCs w:val="28"/>
                                  </w:rPr>
                                  <w:t>=</w:t>
                                </w:r>
                              </w:p>
                            </w:txbxContent>
                          </wps:txbx>
                          <wps:bodyPr wrap="square" rtlCol="0">
                            <a:noAutofit/>
                          </wps:bodyPr>
                        </wps:wsp>
                      </wpg:grpSp>
                    </wpg:wgp>
                  </a:graphicData>
                </a:graphic>
                <wp14:sizeRelH relativeFrom="margin">
                  <wp14:pctWidth>0</wp14:pctWidth>
                </wp14:sizeRelH>
                <wp14:sizeRelV relativeFrom="page">
                  <wp14:pctHeight>0</wp14:pctHeight>
                </wp14:sizeRelV>
              </wp:anchor>
            </w:drawing>
          </mc:Choice>
          <mc:Fallback>
            <w:pict>
              <v:group id="Группа 1" o:spid="_x0000_s1026" style="position:absolute;left:0;text-align:left;margin-left:9.95pt;margin-top:10.55pt;width:447.6pt;height:94.75pt;z-index:251659264;mso-position-horizontal-relative:margin;mso-width-relative:margin" coordsize="52889,12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">
                <v:rect id="Прямоугольник 10" o:spid="_x0000_s1027" style="position:absolute;width:51116;height:7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WHIsQA&#10;AADbAAAADwAAAGRycy9kb3ducmV2LnhtbESPQWvCQBCF74X+h2UK3urGHlRSV1GxIljBpv0B0+w0&#10;CWZnQ3ZN4r/vHARvM7w3732zWA2uVh21ofJsYDJOQBHn3lZcGPj5/nidgwoR2WLtmQzcKMBq+fy0&#10;wNT6nr+oy2KhJIRDigbKGJtU65CX5DCMfUMs2p9vHUZZ20LbFnsJd7V+S5KpdlixNJTY0Lak/JJd&#10;nYHNAbPf276rznjM+l3xefL5zBozehnW76AiDfFhvl8frOALvfwiA+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FhyLEAAAA2wAAAA8AAAAAAAAAAAAAAAAAmAIAAGRycy9k&#10;b3ducmV2LnhtbFBLBQYAAAAABAAEAPUAAACJAwAAAAA=&#10;" filled="f" strokecolor="window" strokeweight="1pt"/>
                <v:group id="Группа 11" o:spid="_x0000_s1028" style="position:absolute;left:1333;top:897;width:51556;height:11138" coordorigin="1333,897" coordsize="51556,111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type id="_x0000_t202" coordsize="21600,21600" o:spt="202" path="m,l,21600r21600,l21600,xe">
                    <v:stroke joinstyle="miter"/>
                    <v:path gradientshapeok="t" o:connecttype="rect"/>
                  </v:shapetype>
                  <v:shape id="TextBox 2" o:spid="_x0000_s1029" type="#_x0000_t202" style="position:absolute;left:1333;top:980;width:16154;height:7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4C512E" w:rsidRDefault="004C512E" w:rsidP="00415415">
                          <w:pPr>
                            <w:pStyle w:val="a3"/>
                            <w:spacing w:after="0"/>
                            <w:jc w:val="center"/>
                          </w:pPr>
                          <w:r>
                            <w:rPr>
                              <w:b/>
                              <w:bCs/>
                              <w:i/>
                              <w:iCs/>
                              <w:color w:val="000000" w:themeColor="text1"/>
                              <w:kern w:val="24"/>
                              <w:sz w:val="28"/>
                              <w:szCs w:val="28"/>
                            </w:rPr>
                            <w:t>уровень</w:t>
                          </w:r>
                        </w:p>
                        <w:p w:rsidR="004C512E" w:rsidRDefault="004C512E" w:rsidP="00415415">
                          <w:pPr>
                            <w:pStyle w:val="a3"/>
                            <w:spacing w:after="0"/>
                            <w:jc w:val="center"/>
                          </w:pPr>
                          <w:r>
                            <w:rPr>
                              <w:b/>
                              <w:bCs/>
                              <w:i/>
                              <w:iCs/>
                              <w:color w:val="000000" w:themeColor="text1"/>
                              <w:kern w:val="24"/>
                              <w:sz w:val="28"/>
                              <w:szCs w:val="28"/>
                            </w:rPr>
                            <w:t>существенности (руб.)</w:t>
                          </w:r>
                        </w:p>
                      </w:txbxContent>
                    </v:textbox>
                  </v:shape>
                  <v:shape id="TextBox 13" o:spid="_x0000_s1030" type="#_x0000_t202" style="position:absolute;left:19486;top:905;width:15837;height:5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4C512E" w:rsidRDefault="004C512E" w:rsidP="00415415">
                          <w:pPr>
                            <w:pStyle w:val="a3"/>
                            <w:spacing w:after="0"/>
                            <w:jc w:val="center"/>
                          </w:pPr>
                          <w:r>
                            <w:rPr>
                              <w:b/>
                              <w:bCs/>
                              <w:i/>
                              <w:iCs/>
                              <w:color w:val="000000" w:themeColor="text1"/>
                              <w:kern w:val="24"/>
                              <w:sz w:val="28"/>
                              <w:szCs w:val="28"/>
                            </w:rPr>
                            <w:t>контрольный</w:t>
                          </w:r>
                        </w:p>
                        <w:p w:rsidR="004C512E" w:rsidRDefault="004C512E" w:rsidP="00415415">
                          <w:pPr>
                            <w:pStyle w:val="a3"/>
                            <w:spacing w:after="0"/>
                            <w:jc w:val="center"/>
                          </w:pPr>
                          <w:r>
                            <w:rPr>
                              <w:b/>
                              <w:bCs/>
                              <w:i/>
                              <w:iCs/>
                              <w:color w:val="000000" w:themeColor="text1"/>
                              <w:kern w:val="24"/>
                              <w:sz w:val="28"/>
                              <w:szCs w:val="28"/>
                            </w:rPr>
                            <w:t>показатель (руб.)</w:t>
                          </w:r>
                        </w:p>
                      </w:txbxContent>
                    </v:textbox>
                  </v:shape>
                  <v:shape id="TextBox 15" o:spid="_x0000_s1031" type="#_x0000_t202" style="position:absolute;left:38212;top:897;width:14677;height:111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4C512E" w:rsidRDefault="004C512E" w:rsidP="00415415">
                          <w:pPr>
                            <w:pStyle w:val="a3"/>
                            <w:spacing w:after="0"/>
                            <w:jc w:val="center"/>
                          </w:pPr>
                          <w:r>
                            <w:rPr>
                              <w:b/>
                              <w:bCs/>
                              <w:i/>
                              <w:iCs/>
                              <w:color w:val="000000" w:themeColor="text1"/>
                              <w:kern w:val="24"/>
                              <w:sz w:val="28"/>
                              <w:szCs w:val="28"/>
                            </w:rPr>
                            <w:t xml:space="preserve">пороговое </w:t>
                          </w:r>
                        </w:p>
                        <w:p w:rsidR="004C512E" w:rsidRDefault="004C512E" w:rsidP="00415415">
                          <w:pPr>
                            <w:pStyle w:val="a3"/>
                            <w:spacing w:after="0"/>
                            <w:jc w:val="center"/>
                          </w:pPr>
                          <w:r>
                            <w:rPr>
                              <w:b/>
                              <w:bCs/>
                              <w:i/>
                              <w:iCs/>
                              <w:color w:val="000000" w:themeColor="text1"/>
                              <w:kern w:val="24"/>
                              <w:sz w:val="28"/>
                              <w:szCs w:val="28"/>
                            </w:rPr>
                            <w:t>значение (%)</w:t>
                          </w:r>
                        </w:p>
                      </w:txbxContent>
                    </v:textbox>
                  </v:shape>
                  <v:shape id="TextBox 16" o:spid="_x0000_s1032" type="#_x0000_t202" style="position:absolute;left:35300;top:1983;width:2842;height:3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4C512E" w:rsidRDefault="004C512E" w:rsidP="00415415">
                          <w:pPr>
                            <w:pStyle w:val="a3"/>
                            <w:spacing w:after="0"/>
                            <w:jc w:val="center"/>
                          </w:pPr>
                          <w:r>
                            <w:rPr>
                              <w:rFonts w:asciiTheme="minorHAnsi" w:hAnsi="Calibri"/>
                              <w:b/>
                              <w:bCs/>
                              <w:i/>
                              <w:iCs/>
                              <w:color w:val="000000" w:themeColor="text1"/>
                              <w:kern w:val="24"/>
                              <w:sz w:val="28"/>
                              <w:szCs w:val="28"/>
                            </w:rPr>
                            <w:t>Х</w:t>
                          </w:r>
                        </w:p>
                      </w:txbxContent>
                    </v:textbox>
                  </v:shape>
                  <v:shape id="TextBox 17" o:spid="_x0000_s1033" type="#_x0000_t202" style="position:absolute;left:16733;top:1983;width:2843;height:3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4C512E" w:rsidRDefault="004C512E" w:rsidP="00415415">
                          <w:pPr>
                            <w:pStyle w:val="a3"/>
                            <w:spacing w:after="0"/>
                            <w:jc w:val="center"/>
                          </w:pPr>
                          <w:r>
                            <w:rPr>
                              <w:rFonts w:asciiTheme="minorHAnsi" w:hAnsi="Calibri"/>
                              <w:b/>
                              <w:bCs/>
                              <w:i/>
                              <w:iCs/>
                              <w:color w:val="000000" w:themeColor="text1"/>
                              <w:kern w:val="24"/>
                              <w:sz w:val="28"/>
                              <w:szCs w:val="28"/>
                            </w:rPr>
                            <w:t>=</w:t>
                          </w:r>
                        </w:p>
                      </w:txbxContent>
                    </v:textbox>
                  </v:shape>
                </v:group>
                <w10:wrap anchorx="margin"/>
              </v:group>
            </w:pict>
          </mc:Fallback>
        </mc:AlternateContent>
      </w:r>
    </w:p>
    <w:p w:rsidR="00415415" w:rsidRDefault="00415415" w:rsidP="00415415">
      <w:pPr>
        <w:spacing w:line="360" w:lineRule="auto"/>
        <w:ind w:firstLine="709"/>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Default="00415415" w:rsidP="00415415">
      <w:pPr>
        <w:spacing w:after="0" w:line="240" w:lineRule="auto"/>
        <w:ind w:firstLine="709"/>
        <w:jc w:val="both"/>
        <w:rPr>
          <w:rFonts w:ascii="Times New Roman" w:eastAsia="Times New Roman" w:hAnsi="Times New Roman" w:cs="Times New Roman"/>
          <w:sz w:val="28"/>
          <w:szCs w:val="28"/>
        </w:rPr>
      </w:pP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2.2.13. Контрольный показатель – величина элемента (показателя) предмета проверки, к которому применяется пороговое значение для целей расчета уровня существенности.</w:t>
      </w:r>
    </w:p>
    <w:p w:rsidR="004A6485" w:rsidRPr="00C36A04"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2.2.14. Выбор контрольного показателя для расчета уровня существенности определяется на основании профессионального суждения членов рабочей группы и согласовывается с </w:t>
      </w:r>
      <w:r w:rsidR="004A6485" w:rsidRPr="00C36A04">
        <w:rPr>
          <w:rFonts w:ascii="Times New Roman" w:eastAsia="Times New Roman" w:hAnsi="Times New Roman" w:cs="Times New Roman"/>
          <w:sz w:val="28"/>
          <w:szCs w:val="28"/>
        </w:rPr>
        <w:t>руководителем контрольного мероприятия.</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выбор соответствующего контрольного показателя могут влиять следующие факторы:</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отчетности (например, активы, обязательства, доходы, расходы) или элементы (показатели) предмета проверки, наиболее значимые для пользователей;</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специфика деятельности объекта контроля, отрасль и экономическая среда, в которых он ведет свою деятельность;</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относительная изменчивость выбранного контрольного показателя;</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прочие факторы, определенные на основании профессионального суждения членов рабочей группы.</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2.2.15. Примеры возможных контрольных показателей приведены в приложении №1 к Методическим рекомендациям.</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2.2.16. Пороговое значение – показатель, выраженный в процентах, определяемый на основании профессионального суждения членов рабочей группы, который применяется к контрольному показателю для расчета уровня существенности с учетом рекомендуемых в пункте 2.2.21. Методических рекомендаций диапазонов.</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3.2.17. Величина порогового значения для расчета уровня существенности зависит от классификации объектов контроля по уровню риска (высокий, средний, низкий) и профессионального суждения членов рабочей группы.</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2.2.18. Факторами, влияющими на классификацию объекта контроля по уровню риска, являются:</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масштаб объекта контроля в бюджетной системе (по величине доходов, расходов, активов, обязательств, полномочий объекта контроля в качестве участника бюджетного процесса и т.п.);</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объем использования бюджетных средств и муниципальных ресурсов;</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наличие значимых нарушений (искажений), выявленных в ходе проведения предыдущих контрольных мероприятий;</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наличие значимых нарушений (искажений) в деятельности объекта контроля, выявленных другими контролирующими и надзорными органами;</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проблемы в области управления объектом контроля;</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роль и полномочия объекта контроля в реализации муниципальных программ (исполнитель, соисполнитель, участник);</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наличие существенной негативной информации в средствах массовой информации в отношении деятельности объекта контроля или его руководства;</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структура и масштаб подведомственной сети;</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прочие факторы, определенные на основании профессионального суждения членов рабочей группы.</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2.2.19. Чем выше оценивается уровень влияния факторов, описанных выше, на выводы, которые могут быть сформированы по результатам проведения контрольного мероприятия в отношении объекта контроля, тем выше оценивается данный объект контроля по уровню риска.</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2.2.20. Чем выше уровень риска, который присущ объекту контроля, тем меньшее пороговое значение должно использоваться при расчете уровня существенности.</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2.2.21. Рекомендуемые диапазоны пороговых значений для расчета уровня существенности в процентах величины контрольного показателя представлены в следующей таблице.</w:t>
      </w:r>
    </w:p>
    <w:p w:rsidR="00415415" w:rsidRDefault="00415415" w:rsidP="00415415">
      <w:pPr>
        <w:spacing w:after="0" w:line="240" w:lineRule="auto"/>
        <w:ind w:firstLine="709"/>
        <w:jc w:val="both"/>
        <w:rPr>
          <w:rFonts w:ascii="Times New Roman" w:eastAsia="Times New Roman" w:hAnsi="Times New Roman" w:cs="Times New Roman"/>
          <w:sz w:val="28"/>
          <w:szCs w:val="28"/>
        </w:rPr>
      </w:pPr>
    </w:p>
    <w:tbl>
      <w:tblPr>
        <w:tblStyle w:val="a5"/>
        <w:tblW w:w="0" w:type="auto"/>
        <w:tblInd w:w="0" w:type="dxa"/>
        <w:tblLook w:val="04A0" w:firstRow="1" w:lastRow="0" w:firstColumn="1" w:lastColumn="0" w:noHBand="0" w:noVBand="1"/>
      </w:tblPr>
      <w:tblGrid>
        <w:gridCol w:w="2689"/>
        <w:gridCol w:w="2268"/>
        <w:gridCol w:w="2051"/>
        <w:gridCol w:w="2336"/>
      </w:tblGrid>
      <w:tr w:rsidR="00415415" w:rsidTr="00415415">
        <w:trPr>
          <w:trHeight w:val="528"/>
        </w:trPr>
        <w:tc>
          <w:tcPr>
            <w:tcW w:w="2689" w:type="dxa"/>
            <w:tcBorders>
              <w:top w:val="single" w:sz="4" w:space="0" w:color="auto"/>
              <w:left w:val="single" w:sz="4" w:space="0" w:color="auto"/>
              <w:bottom w:val="single" w:sz="4" w:space="0" w:color="auto"/>
              <w:right w:val="single" w:sz="4" w:space="0" w:color="auto"/>
            </w:tcBorders>
          </w:tcPr>
          <w:p w:rsidR="00415415" w:rsidRDefault="00415415">
            <w:pPr>
              <w:ind w:firstLine="709"/>
              <w:jc w:val="both"/>
              <w:rPr>
                <w:rFonts w:ascii="Times New Roman" w:eastAsiaTheme="minorEastAsia" w:hAnsi="Times New Roman"/>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hideMark/>
          </w:tcPr>
          <w:p w:rsidR="00415415" w:rsidRDefault="00415415">
            <w:pPr>
              <w:jc w:val="cente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Высокий риск</w:t>
            </w:r>
          </w:p>
        </w:tc>
        <w:tc>
          <w:tcPr>
            <w:tcW w:w="2051" w:type="dxa"/>
            <w:tcBorders>
              <w:top w:val="single" w:sz="4" w:space="0" w:color="auto"/>
              <w:left w:val="single" w:sz="4" w:space="0" w:color="auto"/>
              <w:bottom w:val="single" w:sz="4" w:space="0" w:color="auto"/>
              <w:right w:val="single" w:sz="4" w:space="0" w:color="auto"/>
            </w:tcBorders>
            <w:hideMark/>
          </w:tcPr>
          <w:p w:rsidR="00415415" w:rsidRDefault="00415415">
            <w:pPr>
              <w:jc w:val="cente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Средний риск</w:t>
            </w:r>
          </w:p>
        </w:tc>
        <w:tc>
          <w:tcPr>
            <w:tcW w:w="2336" w:type="dxa"/>
            <w:tcBorders>
              <w:top w:val="single" w:sz="4" w:space="0" w:color="auto"/>
              <w:left w:val="single" w:sz="4" w:space="0" w:color="auto"/>
              <w:bottom w:val="single" w:sz="4" w:space="0" w:color="auto"/>
              <w:right w:val="single" w:sz="4" w:space="0" w:color="auto"/>
            </w:tcBorders>
            <w:hideMark/>
          </w:tcPr>
          <w:p w:rsidR="00415415" w:rsidRDefault="00415415">
            <w:pPr>
              <w:jc w:val="cente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Низкий риск</w:t>
            </w:r>
          </w:p>
        </w:tc>
      </w:tr>
      <w:tr w:rsidR="00415415" w:rsidTr="00415415">
        <w:tc>
          <w:tcPr>
            <w:tcW w:w="2689" w:type="dxa"/>
            <w:tcBorders>
              <w:top w:val="single" w:sz="4" w:space="0" w:color="auto"/>
              <w:left w:val="single" w:sz="4" w:space="0" w:color="auto"/>
              <w:bottom w:val="single" w:sz="4" w:space="0" w:color="auto"/>
              <w:right w:val="single" w:sz="4" w:space="0" w:color="auto"/>
            </w:tcBorders>
            <w:hideMark/>
          </w:tcPr>
          <w:p w:rsidR="00415415" w:rsidRDefault="00415415">
            <w:pPr>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Пороговое значение</w:t>
            </w:r>
          </w:p>
        </w:tc>
        <w:tc>
          <w:tcPr>
            <w:tcW w:w="2268" w:type="dxa"/>
            <w:tcBorders>
              <w:top w:val="single" w:sz="4" w:space="0" w:color="auto"/>
              <w:left w:val="single" w:sz="4" w:space="0" w:color="auto"/>
              <w:bottom w:val="single" w:sz="4" w:space="0" w:color="auto"/>
              <w:right w:val="single" w:sz="4" w:space="0" w:color="auto"/>
            </w:tcBorders>
            <w:hideMark/>
          </w:tcPr>
          <w:p w:rsidR="00415415" w:rsidRDefault="00415415">
            <w:pPr>
              <w:jc w:val="cente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0,5 % – 0,99 %</w:t>
            </w:r>
          </w:p>
        </w:tc>
        <w:tc>
          <w:tcPr>
            <w:tcW w:w="2051" w:type="dxa"/>
            <w:tcBorders>
              <w:top w:val="single" w:sz="4" w:space="0" w:color="auto"/>
              <w:left w:val="single" w:sz="4" w:space="0" w:color="auto"/>
              <w:bottom w:val="single" w:sz="4" w:space="0" w:color="auto"/>
              <w:right w:val="single" w:sz="4" w:space="0" w:color="auto"/>
            </w:tcBorders>
            <w:hideMark/>
          </w:tcPr>
          <w:p w:rsidR="00415415" w:rsidRDefault="00415415">
            <w:pPr>
              <w:jc w:val="cente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1 % – 1,99 %</w:t>
            </w:r>
          </w:p>
        </w:tc>
        <w:tc>
          <w:tcPr>
            <w:tcW w:w="2336" w:type="dxa"/>
            <w:tcBorders>
              <w:top w:val="single" w:sz="4" w:space="0" w:color="auto"/>
              <w:left w:val="single" w:sz="4" w:space="0" w:color="auto"/>
              <w:bottom w:val="single" w:sz="4" w:space="0" w:color="auto"/>
              <w:right w:val="single" w:sz="4" w:space="0" w:color="auto"/>
            </w:tcBorders>
            <w:hideMark/>
          </w:tcPr>
          <w:p w:rsidR="00415415" w:rsidRDefault="00415415">
            <w:pPr>
              <w:jc w:val="cente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2 % – 3 %</w:t>
            </w:r>
          </w:p>
        </w:tc>
      </w:tr>
    </w:tbl>
    <w:p w:rsidR="00415415" w:rsidRDefault="00415415" w:rsidP="00415415">
      <w:pPr>
        <w:spacing w:after="0" w:line="240" w:lineRule="auto"/>
        <w:ind w:firstLine="709"/>
        <w:jc w:val="both"/>
        <w:rPr>
          <w:rFonts w:ascii="Times New Roman" w:eastAsia="Times New Roman" w:hAnsi="Times New Roman" w:cs="Times New Roman"/>
          <w:sz w:val="28"/>
          <w:szCs w:val="28"/>
        </w:rPr>
      </w:pPr>
    </w:p>
    <w:p w:rsidR="00224ADD"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2.2.22. Пороговое значение для расчета уровня существенности в зависимости от оценки уровня риска, присущего объекту контроля, должно находиться в диапазоне от 0,5 % до 3 %. </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отдельных случаях пороговое значение может быть ниже 0,5 % или выше 3 %.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7B89">
        <w:rPr>
          <w:rFonts w:ascii="Times New Roman" w:eastAsia="Times New Roman" w:hAnsi="Times New Roman" w:cs="Times New Roman"/>
          <w:sz w:val="28"/>
          <w:szCs w:val="28"/>
        </w:rPr>
        <w:t xml:space="preserve">Проект аргументированного решения об использовании порогового значения для расчета уровня существенности ниже 0,5 % или выше 3 %, содержащий описание обоснования такого выбора, выносится на рассмотрение </w:t>
      </w:r>
      <w:r w:rsidR="006C7B89">
        <w:rPr>
          <w:rFonts w:ascii="Times New Roman" w:eastAsia="Times New Roman" w:hAnsi="Times New Roman" w:cs="Times New Roman"/>
          <w:sz w:val="28"/>
          <w:szCs w:val="28"/>
        </w:rPr>
        <w:t xml:space="preserve">коллегии </w:t>
      </w:r>
      <w:r w:rsidR="00224ADD" w:rsidRPr="006C7B89">
        <w:rPr>
          <w:rFonts w:ascii="Times New Roman" w:eastAsia="Times New Roman" w:hAnsi="Times New Roman" w:cs="Times New Roman"/>
          <w:sz w:val="28"/>
          <w:szCs w:val="28"/>
        </w:rPr>
        <w:t xml:space="preserve">Контрольно-счетной палаты </w:t>
      </w:r>
      <w:r w:rsidRPr="006C7B89">
        <w:rPr>
          <w:rFonts w:ascii="Times New Roman" w:eastAsia="Times New Roman" w:hAnsi="Times New Roman" w:cs="Times New Roman"/>
          <w:sz w:val="28"/>
          <w:szCs w:val="28"/>
        </w:rPr>
        <w:t>до начала проведения контрольного мероприятия.</w:t>
      </w:r>
      <w:r>
        <w:rPr>
          <w:rFonts w:ascii="Times New Roman" w:eastAsia="Times New Roman" w:hAnsi="Times New Roman" w:cs="Times New Roman"/>
          <w:sz w:val="28"/>
          <w:szCs w:val="28"/>
        </w:rPr>
        <w:t xml:space="preserve">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2.2.23. Расчет уровня существенности производится </w:t>
      </w:r>
      <w:r w:rsidR="008D66AF">
        <w:rPr>
          <w:rFonts w:ascii="Times New Roman" w:eastAsia="Times New Roman" w:hAnsi="Times New Roman" w:cs="Times New Roman"/>
          <w:sz w:val="28"/>
          <w:szCs w:val="28"/>
          <w:lang w:eastAsia="ru-RU"/>
        </w:rPr>
        <w:t xml:space="preserve">руководителем </w:t>
      </w:r>
      <w:r w:rsidR="00801F70">
        <w:rPr>
          <w:rFonts w:ascii="Times New Roman" w:eastAsia="Times New Roman" w:hAnsi="Times New Roman" w:cs="Times New Roman"/>
          <w:sz w:val="28"/>
          <w:szCs w:val="28"/>
          <w:lang w:eastAsia="ru-RU"/>
        </w:rPr>
        <w:t xml:space="preserve">контрольного мероприятия </w:t>
      </w:r>
      <w:r>
        <w:rPr>
          <w:rFonts w:ascii="Times New Roman" w:eastAsia="Times New Roman" w:hAnsi="Times New Roman" w:cs="Times New Roman"/>
          <w:sz w:val="28"/>
          <w:szCs w:val="28"/>
          <w:lang w:eastAsia="ru-RU"/>
        </w:rPr>
        <w:t xml:space="preserve">и согласовывается с </w:t>
      </w:r>
      <w:r>
        <w:rPr>
          <w:rFonts w:ascii="Times New Roman" w:eastAsia="Times New Roman" w:hAnsi="Times New Roman" w:cs="Times New Roman"/>
          <w:sz w:val="28"/>
          <w:szCs w:val="28"/>
        </w:rPr>
        <w:t xml:space="preserve">председателем </w:t>
      </w:r>
      <w:r w:rsidR="008D66AF">
        <w:rPr>
          <w:rFonts w:ascii="Times New Roman" w:eastAsia="Times New Roman" w:hAnsi="Times New Roman" w:cs="Times New Roman"/>
          <w:sz w:val="28"/>
          <w:szCs w:val="28"/>
        </w:rPr>
        <w:t>К</w:t>
      </w:r>
      <w:r>
        <w:rPr>
          <w:rFonts w:ascii="Times New Roman" w:eastAsia="Times New Roman" w:hAnsi="Times New Roman" w:cs="Times New Roman"/>
          <w:sz w:val="28"/>
          <w:szCs w:val="28"/>
        </w:rPr>
        <w:t>онтрольно-счетно</w:t>
      </w:r>
      <w:r w:rsidR="008D66AF">
        <w:rPr>
          <w:rFonts w:ascii="Times New Roman" w:eastAsia="Times New Roman" w:hAnsi="Times New Roman" w:cs="Times New Roman"/>
          <w:sz w:val="28"/>
          <w:szCs w:val="28"/>
        </w:rPr>
        <w:t xml:space="preserve">й палаты, </w:t>
      </w:r>
      <w:r>
        <w:rPr>
          <w:rFonts w:ascii="Times New Roman" w:eastAsia="Times New Roman" w:hAnsi="Times New Roman" w:cs="Times New Roman"/>
          <w:sz w:val="28"/>
          <w:szCs w:val="28"/>
          <w:lang w:eastAsia="ru-RU"/>
        </w:rPr>
        <w:t xml:space="preserve">путем направления ему служебной записки с описанием подхода к расчету существенности, содержащей: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обоснование оценки уровня риска, присущего объекту контроля, и выбора порогового значения</w:t>
      </w:r>
      <w:r>
        <w:rPr>
          <w:rFonts w:ascii="Times New Roman" w:eastAsia="Times New Roman" w:hAnsi="Times New Roman" w:cs="Times New Roman"/>
          <w:sz w:val="28"/>
          <w:szCs w:val="28"/>
        </w:rPr>
        <w:t xml:space="preserve"> для расчета уровня существенности</w:t>
      </w:r>
      <w:r>
        <w:rPr>
          <w:rFonts w:ascii="Times New Roman" w:eastAsia="Times New Roman" w:hAnsi="Times New Roman" w:cs="Times New Roman"/>
          <w:sz w:val="28"/>
          <w:szCs w:val="28"/>
          <w:lang w:eastAsia="ru-RU"/>
        </w:rPr>
        <w:t>;</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обоснование выбора порогового значения</w:t>
      </w:r>
      <w:r>
        <w:rPr>
          <w:rFonts w:ascii="Times New Roman" w:eastAsia="Times New Roman" w:hAnsi="Times New Roman" w:cs="Times New Roman"/>
          <w:sz w:val="28"/>
          <w:szCs w:val="28"/>
        </w:rPr>
        <w:t xml:space="preserve"> для расчета уровня существенности</w:t>
      </w:r>
      <w:r>
        <w:rPr>
          <w:rFonts w:ascii="Times New Roman" w:eastAsia="Times New Roman" w:hAnsi="Times New Roman" w:cs="Times New Roman"/>
          <w:sz w:val="28"/>
          <w:szCs w:val="28"/>
          <w:lang w:eastAsia="ru-RU"/>
        </w:rPr>
        <w:t>, отличного от установленных Методическими рекомендациями пороговых значений (если такое имеет место);</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обоснование выбора контрольного показателя;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расчет уровня существенности.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 xml:space="preserve">2.2.24. </w:t>
      </w:r>
      <w:r>
        <w:rPr>
          <w:rFonts w:ascii="Times New Roman" w:eastAsia="Times New Roman" w:hAnsi="Times New Roman" w:cs="Times New Roman"/>
          <w:sz w:val="28"/>
          <w:szCs w:val="28"/>
        </w:rPr>
        <w:t xml:space="preserve">Уровень существенности должен рассчитываться для каждого контрольного мероприятия. </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контрольное мероприятие проводится в рамках последующего контроля в отношении нескольких объектов контроля, рассчитывается единый уровень существенности для контрольного мероприятия на основании финансовой информации главного администратора средств бюджета</w:t>
      </w:r>
      <w:r w:rsidR="008D66AF">
        <w:rPr>
          <w:rFonts w:ascii="Times New Roman" w:eastAsia="Times New Roman" w:hAnsi="Times New Roman" w:cs="Times New Roman"/>
          <w:sz w:val="28"/>
          <w:szCs w:val="28"/>
        </w:rPr>
        <w:t xml:space="preserve"> города Курска</w:t>
      </w:r>
      <w:r>
        <w:rPr>
          <w:rFonts w:ascii="Times New Roman" w:eastAsia="Times New Roman" w:hAnsi="Times New Roman" w:cs="Times New Roman"/>
          <w:sz w:val="28"/>
          <w:szCs w:val="28"/>
        </w:rPr>
        <w:t xml:space="preserve">, в отношении которого готовится заключение </w:t>
      </w:r>
      <w:r w:rsidR="008D6C5B">
        <w:rPr>
          <w:rFonts w:ascii="Times New Roman" w:eastAsia="Times New Roman" w:hAnsi="Times New Roman" w:cs="Times New Roman"/>
          <w:sz w:val="28"/>
          <w:szCs w:val="28"/>
        </w:rPr>
        <w:t xml:space="preserve">Контрольно-счетной палаты, </w:t>
      </w:r>
      <w:r>
        <w:rPr>
          <w:rFonts w:ascii="Times New Roman" w:eastAsia="Times New Roman" w:hAnsi="Times New Roman" w:cs="Times New Roman"/>
          <w:sz w:val="28"/>
          <w:szCs w:val="28"/>
        </w:rPr>
        <w:t>с учетом рисков, присущих остальным объектам контроля, проверяемым в ходе контрольного мероприятия.</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2.2.25. По решению </w:t>
      </w:r>
      <w:r w:rsidR="008D66AF">
        <w:rPr>
          <w:rFonts w:ascii="Times New Roman" w:eastAsia="Times New Roman" w:hAnsi="Times New Roman" w:cs="Times New Roman"/>
          <w:sz w:val="28"/>
          <w:szCs w:val="28"/>
        </w:rPr>
        <w:t xml:space="preserve">руководителя </w:t>
      </w:r>
      <w:r w:rsidR="008D6C5B">
        <w:rPr>
          <w:rFonts w:ascii="Times New Roman" w:eastAsia="Times New Roman" w:hAnsi="Times New Roman" w:cs="Times New Roman"/>
          <w:sz w:val="28"/>
          <w:szCs w:val="28"/>
        </w:rPr>
        <w:t>контрольного мероприятия, о</w:t>
      </w:r>
      <w:r>
        <w:rPr>
          <w:rFonts w:ascii="Times New Roman" w:eastAsia="Times New Roman" w:hAnsi="Times New Roman" w:cs="Times New Roman"/>
          <w:sz w:val="28"/>
          <w:szCs w:val="28"/>
        </w:rPr>
        <w:t>бъект контроля может быть проинформирован о величине уровня существенности, который применяется в ходе контрольного мероприятия.</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2.2.26. Рассчитанный уровень существенности применяется к каждому элементу (показателю) предмета проверки. Распределение уровня существенности по элементам (показателям) не допускается.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2.2.27. Уровень существенности следует пересматривать, в случае если в ходе проведения контрольного мероприятия становится известна информация, которая позволила бы установить другую величину уровня существенности, если бы такая информация была известна изначально.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2.2.28. При выявлении нарушений (искажений), которые повлияли на выбранный контрольный показатель, следует пересчитать уровень существенности на основании скорректированной величины контрольного показателя и при необходимости сделать выводы о необходимости изменения </w:t>
      </w:r>
      <w:r>
        <w:rPr>
          <w:rFonts w:ascii="Times New Roman" w:eastAsia="Times New Roman" w:hAnsi="Times New Roman" w:cs="Times New Roman"/>
          <w:sz w:val="28"/>
          <w:szCs w:val="28"/>
          <w:lang w:eastAsia="ru-RU"/>
        </w:rPr>
        <w:lastRenderedPageBreak/>
        <w:t xml:space="preserve">объема и содержания первоначально запланированных контрольных процедур. Например, если в качестве контрольного показателя был выбран показатель «Расходы бюджета», уровень существенности должен быть пересмотрен с учетом всех скорректированных нарушений (искажений), которые оказали влияние на контрольный показатель.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2.2.29. Если </w:t>
      </w:r>
      <w:r w:rsidR="00801F70">
        <w:rPr>
          <w:rFonts w:ascii="Times New Roman" w:eastAsia="Times New Roman" w:hAnsi="Times New Roman" w:cs="Times New Roman"/>
          <w:sz w:val="28"/>
          <w:szCs w:val="28"/>
          <w:lang w:eastAsia="ru-RU"/>
        </w:rPr>
        <w:t xml:space="preserve">руководитель контрольного мероприятия </w:t>
      </w:r>
      <w:r>
        <w:rPr>
          <w:rFonts w:ascii="Times New Roman" w:eastAsia="Times New Roman" w:hAnsi="Times New Roman" w:cs="Times New Roman"/>
          <w:sz w:val="28"/>
          <w:szCs w:val="28"/>
          <w:lang w:eastAsia="ru-RU"/>
        </w:rPr>
        <w:t xml:space="preserve">приходит к выводу, что целесообразно применять более низкое пороговое значение, чем изначально установленное (в диапазоне </w:t>
      </w:r>
      <w:r>
        <w:rPr>
          <w:rFonts w:ascii="Times New Roman" w:eastAsia="Times New Roman" w:hAnsi="Times New Roman" w:cs="Times New Roman"/>
          <w:sz w:val="28"/>
          <w:szCs w:val="28"/>
        </w:rPr>
        <w:t>от 0,5 % до 3 %)</w:t>
      </w:r>
      <w:r>
        <w:rPr>
          <w:rFonts w:ascii="Times New Roman" w:eastAsia="Times New Roman" w:hAnsi="Times New Roman" w:cs="Times New Roman"/>
          <w:sz w:val="28"/>
          <w:szCs w:val="28"/>
          <w:lang w:eastAsia="ru-RU"/>
        </w:rPr>
        <w:t>, он должен направить служебную записку</w:t>
      </w:r>
      <w:r>
        <w:t xml:space="preserve"> </w:t>
      </w:r>
      <w:r>
        <w:rPr>
          <w:rFonts w:ascii="Times New Roman" w:eastAsia="Times New Roman" w:hAnsi="Times New Roman" w:cs="Times New Roman"/>
          <w:sz w:val="28"/>
          <w:szCs w:val="28"/>
          <w:lang w:eastAsia="ru-RU"/>
        </w:rPr>
        <w:t xml:space="preserve">на согласование председателю </w:t>
      </w:r>
      <w:r w:rsidR="00C8646B">
        <w:rPr>
          <w:rFonts w:ascii="Times New Roman" w:eastAsia="Times New Roman" w:hAnsi="Times New Roman" w:cs="Times New Roman"/>
          <w:sz w:val="28"/>
          <w:szCs w:val="28"/>
          <w:lang w:eastAsia="ru-RU"/>
        </w:rPr>
        <w:t xml:space="preserve">Контрольно-счетной палаты, </w:t>
      </w:r>
      <w:r>
        <w:rPr>
          <w:rFonts w:ascii="Times New Roman" w:eastAsia="Times New Roman" w:hAnsi="Times New Roman" w:cs="Times New Roman"/>
          <w:sz w:val="28"/>
          <w:szCs w:val="28"/>
          <w:lang w:eastAsia="ru-RU"/>
        </w:rPr>
        <w:t>в которой он должен обосновать необходимость в пересмотре уровня существенности, а также определить, сохраняют ли свою актуальность содержание, сроки и объемы первоначально запланированных контрольных процедур.</w:t>
      </w:r>
    </w:p>
    <w:p w:rsidR="00DD2F22"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необходимости изменения порогового значения, рассмотренного </w:t>
      </w:r>
      <w:r w:rsidR="006C7B89">
        <w:rPr>
          <w:rFonts w:ascii="Times New Roman" w:eastAsia="Times New Roman" w:hAnsi="Times New Roman" w:cs="Times New Roman"/>
          <w:sz w:val="28"/>
          <w:szCs w:val="28"/>
        </w:rPr>
        <w:t xml:space="preserve">коллегией </w:t>
      </w:r>
      <w:r w:rsidR="00DD2F22">
        <w:rPr>
          <w:rFonts w:ascii="Times New Roman" w:eastAsia="Times New Roman" w:hAnsi="Times New Roman" w:cs="Times New Roman"/>
          <w:sz w:val="28"/>
          <w:szCs w:val="28"/>
        </w:rPr>
        <w:t xml:space="preserve">Контрольно-счетной палаты, </w:t>
      </w:r>
      <w:r>
        <w:rPr>
          <w:rFonts w:ascii="Times New Roman" w:eastAsia="Times New Roman" w:hAnsi="Times New Roman" w:cs="Times New Roman"/>
          <w:sz w:val="28"/>
          <w:szCs w:val="28"/>
        </w:rPr>
        <w:t xml:space="preserve">проект аргументированного решения об изменении порогового значения для расчета уровня существенности также выносится на рассмотрение </w:t>
      </w:r>
      <w:r w:rsidR="006C7B89">
        <w:rPr>
          <w:rFonts w:ascii="Times New Roman" w:eastAsia="Times New Roman" w:hAnsi="Times New Roman" w:cs="Times New Roman"/>
          <w:sz w:val="28"/>
          <w:szCs w:val="28"/>
        </w:rPr>
        <w:t xml:space="preserve">коллегии </w:t>
      </w:r>
      <w:r w:rsidR="00DD2F22">
        <w:rPr>
          <w:rFonts w:ascii="Times New Roman" w:eastAsia="Times New Roman" w:hAnsi="Times New Roman" w:cs="Times New Roman"/>
          <w:sz w:val="28"/>
          <w:szCs w:val="28"/>
        </w:rPr>
        <w:t>Контрольно-счетной палаты.</w:t>
      </w:r>
    </w:p>
    <w:p w:rsidR="00DD2F22"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2.2.30. В случае отсутствия на момент расчета уровня существенности необходимой информации по состоянию на отчетную дату (за отчетный период) для целей определения уровня существенности необходимо использовать соответствующую информацию на предшествующую отчетную дату (за предшествующий отчетный период) либо на промежуточную отчетную дату внутри отчетного периода (промежуточный период, пропорционально приведенный к годовому измерению).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Впоследствии после получения необходимой информации по состоянию на текущую отчетную дату (за отчетный период) расчет уровня существенности следует актуализировать.</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2.2.31. Пример оценки существенности представлен в Приложении №1 к Методическим рекомендациям.</w:t>
      </w:r>
    </w:p>
    <w:p w:rsidR="009E309D" w:rsidRDefault="009E309D" w:rsidP="00B15BC6">
      <w:pPr>
        <w:pStyle w:val="a6"/>
        <w:ind w:left="2832" w:firstLine="708"/>
        <w:rPr>
          <w:rFonts w:ascii="Times New Roman" w:hAnsi="Times New Roman" w:cs="Times New Roman"/>
          <w:b/>
          <w:sz w:val="28"/>
          <w:szCs w:val="28"/>
        </w:rPr>
      </w:pPr>
      <w:bookmarkStart w:id="12" w:name="_Toc182821752"/>
      <w:bookmarkStart w:id="13" w:name="_Toc182821923"/>
    </w:p>
    <w:p w:rsidR="00415415" w:rsidRPr="00B15BC6" w:rsidRDefault="00415415" w:rsidP="00B15BC6">
      <w:pPr>
        <w:pStyle w:val="a6"/>
        <w:ind w:left="2832" w:firstLine="708"/>
        <w:rPr>
          <w:rFonts w:ascii="Times New Roman" w:hAnsi="Times New Roman" w:cs="Times New Roman"/>
          <w:b/>
          <w:sz w:val="28"/>
          <w:szCs w:val="28"/>
        </w:rPr>
      </w:pPr>
      <w:r w:rsidRPr="00B15BC6">
        <w:rPr>
          <w:rFonts w:ascii="Times New Roman" w:hAnsi="Times New Roman" w:cs="Times New Roman"/>
          <w:b/>
          <w:sz w:val="28"/>
          <w:szCs w:val="28"/>
        </w:rPr>
        <w:t>3. Оценка рисков</w:t>
      </w:r>
      <w:bookmarkEnd w:id="12"/>
      <w:bookmarkEnd w:id="13"/>
    </w:p>
    <w:p w:rsidR="00415415" w:rsidRPr="00B15BC6" w:rsidRDefault="00415415" w:rsidP="00B15BC6">
      <w:pPr>
        <w:pStyle w:val="a6"/>
        <w:rPr>
          <w:rFonts w:ascii="Times New Roman" w:hAnsi="Times New Roman" w:cs="Times New Roman"/>
          <w:b/>
          <w:sz w:val="28"/>
          <w:szCs w:val="28"/>
        </w:rPr>
      </w:pPr>
    </w:p>
    <w:p w:rsidR="00415415" w:rsidRDefault="00B15BC6" w:rsidP="00B15BC6">
      <w:pPr>
        <w:pStyle w:val="a6"/>
        <w:ind w:left="2832"/>
        <w:rPr>
          <w:rFonts w:ascii="Times New Roman" w:hAnsi="Times New Roman" w:cs="Times New Roman"/>
          <w:b/>
          <w:sz w:val="28"/>
          <w:szCs w:val="28"/>
        </w:rPr>
      </w:pPr>
      <w:bookmarkStart w:id="14" w:name="_Toc182821753"/>
      <w:bookmarkStart w:id="15" w:name="_Toc182821924"/>
      <w:r>
        <w:rPr>
          <w:rFonts w:ascii="Times New Roman" w:hAnsi="Times New Roman" w:cs="Times New Roman"/>
          <w:b/>
          <w:sz w:val="28"/>
          <w:szCs w:val="28"/>
        </w:rPr>
        <w:t xml:space="preserve"> </w:t>
      </w:r>
      <w:r w:rsidR="00415415" w:rsidRPr="00B15BC6">
        <w:rPr>
          <w:rFonts w:ascii="Times New Roman" w:hAnsi="Times New Roman" w:cs="Times New Roman"/>
          <w:b/>
          <w:sz w:val="28"/>
          <w:szCs w:val="28"/>
        </w:rPr>
        <w:t>3.1. Понятие и виды рисков</w:t>
      </w:r>
      <w:bookmarkEnd w:id="7"/>
      <w:bookmarkEnd w:id="14"/>
      <w:bookmarkEnd w:id="15"/>
    </w:p>
    <w:p w:rsidR="00164AC4" w:rsidRPr="00B15BC6" w:rsidRDefault="00164AC4" w:rsidP="00B15BC6">
      <w:pPr>
        <w:pStyle w:val="a6"/>
        <w:ind w:left="2832"/>
        <w:rPr>
          <w:rFonts w:ascii="Times New Roman" w:hAnsi="Times New Roman" w:cs="Times New Roman"/>
          <w:b/>
          <w:sz w:val="28"/>
          <w:szCs w:val="28"/>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 Компонентами аудиторского риска являются риск искажения, включающий в себя неотъемлемый риск и риск средств контроля, и риск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3.1.2. </w:t>
      </w:r>
      <w:r>
        <w:rPr>
          <w:rFonts w:ascii="Times New Roman" w:eastAsia="Times New Roman" w:hAnsi="Times New Roman" w:cs="Times New Roman"/>
          <w:sz w:val="28"/>
          <w:szCs w:val="28"/>
          <w:u w:val="single"/>
          <w:lang w:eastAsia="ru-RU"/>
        </w:rPr>
        <w:t>Риск искажения</w:t>
      </w:r>
      <w:r>
        <w:rPr>
          <w:rFonts w:ascii="Times New Roman" w:eastAsia="Times New Roman" w:hAnsi="Times New Roman" w:cs="Times New Roman"/>
          <w:sz w:val="28"/>
          <w:szCs w:val="28"/>
          <w:lang w:eastAsia="ru-RU"/>
        </w:rPr>
        <w:t xml:space="preserve"> – это вероятность того, что информация о предмете проверки содержит в себе значимые нарушения (искажения).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 </w:t>
      </w:r>
      <w:r>
        <w:rPr>
          <w:rFonts w:ascii="Times New Roman" w:eastAsia="Times New Roman" w:hAnsi="Times New Roman" w:cs="Times New Roman"/>
          <w:sz w:val="28"/>
          <w:szCs w:val="28"/>
          <w:u w:val="single"/>
          <w:lang w:eastAsia="ru-RU"/>
        </w:rPr>
        <w:t>Неотъемлемый риск</w:t>
      </w:r>
      <w:r>
        <w:rPr>
          <w:rFonts w:ascii="Times New Roman" w:eastAsia="Times New Roman" w:hAnsi="Times New Roman" w:cs="Times New Roman"/>
          <w:sz w:val="28"/>
          <w:szCs w:val="28"/>
          <w:lang w:eastAsia="ru-RU"/>
        </w:rPr>
        <w:t xml:space="preserve"> – это вероятность того, что информация о предмете проверки может содержать значимые нарушения (искажения) как в отдельности, так и в совокупности, если предположить, что у объекта контроля отсутствует внутренний финансовый контроль, который должен предотвращать или обнаруживать и исправлять указанные нарушения (искажения).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3.1.4. </w:t>
      </w:r>
      <w:r>
        <w:rPr>
          <w:rFonts w:ascii="Times New Roman" w:eastAsia="Times New Roman" w:hAnsi="Times New Roman" w:cs="Times New Roman"/>
          <w:sz w:val="28"/>
          <w:szCs w:val="28"/>
          <w:u w:val="single"/>
          <w:lang w:eastAsia="ru-RU"/>
        </w:rPr>
        <w:t>Риск средств контроля</w:t>
      </w:r>
      <w:r>
        <w:rPr>
          <w:rFonts w:ascii="Times New Roman" w:eastAsia="Times New Roman" w:hAnsi="Times New Roman" w:cs="Times New Roman"/>
          <w:sz w:val="28"/>
          <w:szCs w:val="28"/>
          <w:lang w:eastAsia="ru-RU"/>
        </w:rPr>
        <w:t xml:space="preserve"> – это вероятность того, что значимое </w:t>
      </w:r>
      <w:r>
        <w:rPr>
          <w:rFonts w:ascii="Times New Roman" w:eastAsia="Times New Roman" w:hAnsi="Times New Roman" w:cs="Times New Roman"/>
          <w:sz w:val="28"/>
          <w:szCs w:val="28"/>
          <w:lang w:eastAsia="ru-RU"/>
        </w:rPr>
        <w:lastRenderedPageBreak/>
        <w:t xml:space="preserve">нарушение (искажение) не будет своевременно предотвращено или обнаружено и исправлено внутренним финансовым контролем объекта контроля.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3.1.5. </w:t>
      </w:r>
      <w:r>
        <w:rPr>
          <w:rFonts w:ascii="Times New Roman" w:eastAsia="Times New Roman" w:hAnsi="Times New Roman" w:cs="Times New Roman"/>
          <w:sz w:val="28"/>
          <w:szCs w:val="28"/>
          <w:u w:val="single"/>
          <w:lang w:eastAsia="ru-RU"/>
        </w:rPr>
        <w:t>Средства контроля</w:t>
      </w:r>
      <w:r>
        <w:rPr>
          <w:rFonts w:ascii="Times New Roman" w:eastAsia="Times New Roman" w:hAnsi="Times New Roman" w:cs="Times New Roman"/>
          <w:sz w:val="28"/>
          <w:szCs w:val="28"/>
          <w:lang w:eastAsia="ru-RU"/>
        </w:rPr>
        <w:t xml:space="preserve"> – это внутренние нормативные документы и процедуры, действующие на объекте контроля, которые направлены на эффективное выполнение внутренних процессов объекта контроля, обеспечение соблюдения объектом контроля требований законодательства Российской Федерации, а также на своевременное предотвращение или обнаружение и исправление нарушений (искажений).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3.1.6. </w:t>
      </w:r>
      <w:r>
        <w:rPr>
          <w:rFonts w:ascii="Times New Roman" w:eastAsia="Times New Roman" w:hAnsi="Times New Roman" w:cs="Times New Roman"/>
          <w:sz w:val="28"/>
          <w:szCs w:val="28"/>
          <w:u w:val="single"/>
          <w:lang w:eastAsia="ru-RU"/>
        </w:rPr>
        <w:t>Риск средств контроля</w:t>
      </w:r>
      <w:r>
        <w:rPr>
          <w:rFonts w:ascii="Times New Roman" w:eastAsia="Times New Roman" w:hAnsi="Times New Roman" w:cs="Times New Roman"/>
          <w:sz w:val="28"/>
          <w:szCs w:val="28"/>
          <w:lang w:eastAsia="ru-RU"/>
        </w:rPr>
        <w:t xml:space="preserve"> характеризует степень надежности системы бухгалтерского учета и состояния организации внутреннего финансового контроля у объекта контроля, поэтому некоторый риск средств контроля будет существовать всегда.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 На оценку неотъемлемого риска не влияет эффективность средств контроля, так как в большей степени эффективность средств контроля влияет на оценку риска средств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3.1.8. </w:t>
      </w:r>
      <w:r>
        <w:rPr>
          <w:rFonts w:ascii="Times New Roman" w:eastAsia="Times New Roman" w:hAnsi="Times New Roman" w:cs="Times New Roman"/>
          <w:sz w:val="28"/>
          <w:szCs w:val="28"/>
          <w:u w:val="single"/>
          <w:lang w:eastAsia="ru-RU"/>
        </w:rPr>
        <w:t>Неотъемлемый риск и риск средств контроля</w:t>
      </w:r>
      <w:r>
        <w:rPr>
          <w:rFonts w:ascii="Times New Roman" w:eastAsia="Times New Roman" w:hAnsi="Times New Roman" w:cs="Times New Roman"/>
          <w:sz w:val="28"/>
          <w:szCs w:val="28"/>
          <w:lang w:eastAsia="ru-RU"/>
        </w:rPr>
        <w:t xml:space="preserve"> – это риски, присущие объекту контроля, на которые участники контрольного мероприятия - члены рабочей группы, не могут повлиять.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3.1.9. </w:t>
      </w:r>
      <w:r>
        <w:rPr>
          <w:rFonts w:ascii="Times New Roman" w:eastAsia="Times New Roman" w:hAnsi="Times New Roman" w:cs="Times New Roman"/>
          <w:sz w:val="28"/>
          <w:szCs w:val="28"/>
          <w:u w:val="single"/>
          <w:lang w:eastAsia="ru-RU"/>
        </w:rPr>
        <w:t xml:space="preserve">Риск </w:t>
      </w:r>
      <w:proofErr w:type="spellStart"/>
      <w:r>
        <w:rPr>
          <w:rFonts w:ascii="Times New Roman" w:eastAsia="Times New Roman" w:hAnsi="Times New Roman" w:cs="Times New Roman"/>
          <w:sz w:val="28"/>
          <w:szCs w:val="28"/>
          <w:u w:val="single"/>
          <w:lang w:eastAsia="ru-RU"/>
        </w:rPr>
        <w:t>необнаружения</w:t>
      </w:r>
      <w:proofErr w:type="spellEnd"/>
      <w:r>
        <w:rPr>
          <w:rFonts w:ascii="Times New Roman" w:eastAsia="Times New Roman" w:hAnsi="Times New Roman" w:cs="Times New Roman"/>
          <w:sz w:val="28"/>
          <w:szCs w:val="28"/>
          <w:lang w:eastAsia="ru-RU"/>
        </w:rPr>
        <w:t xml:space="preserve"> – это вероятность того, что выполненные в ходе контрольного мероприятия контрольные процедуры не позволят обнаружить значимые нарушения (искажения).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3.1.10. Допустимый уровень риска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определяется на основе оценки неотъемлемого риска и риска средств контроля.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Между риском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и совокупностью неотъемлемого риска и риска средств контроля, то есть риском искажения, существует обратная зависимость:</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высокие значения неотъемлемого риска и риска средств контроля требуют спланировать и провести контрольные процедуры таким образом, чтобы максимально снизить риск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низкие значения неотъемлемого риска и риска средств контроля позволяют допустить в ходе проведения контрольных процедур более высокий риск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3.1.11. Чем выше неотъемлемый риск и риск средств контроля, совокупно представляющие собой риск искажения, тем ниже должен быть риск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и, соответственно, тем больший объем доказательств должен быть собран.</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3.1.12. Оценка риска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напрямую влияет на содержание, сроки и объем контрольных процедур, которые требуется выполнить членам рабочей группы для снижения риска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до приемлемого уровня.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3.1.13. Взаимосвязь оценки неотъемлемого риска и риска средств контроля с приемлемым уровнем риска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представлена в следующей таблице.</w:t>
      </w:r>
    </w:p>
    <w:p w:rsidR="000D7A72" w:rsidRDefault="000D7A72"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tbl>
      <w:tblPr>
        <w:tblStyle w:val="a5"/>
        <w:tblW w:w="0" w:type="auto"/>
        <w:tblInd w:w="0" w:type="dxa"/>
        <w:tblLook w:val="04A0" w:firstRow="1" w:lastRow="0" w:firstColumn="1" w:lastColumn="0" w:noHBand="0" w:noVBand="1"/>
      </w:tblPr>
      <w:tblGrid>
        <w:gridCol w:w="2689"/>
        <w:gridCol w:w="2268"/>
        <w:gridCol w:w="2315"/>
        <w:gridCol w:w="2073"/>
      </w:tblGrid>
      <w:tr w:rsidR="00415415" w:rsidTr="00415415">
        <w:tc>
          <w:tcPr>
            <w:tcW w:w="2689" w:type="dxa"/>
            <w:tcBorders>
              <w:top w:val="single" w:sz="4" w:space="0" w:color="auto"/>
              <w:left w:val="single" w:sz="4" w:space="0" w:color="auto"/>
              <w:bottom w:val="single" w:sz="4" w:space="0" w:color="auto"/>
              <w:right w:val="single" w:sz="4" w:space="0" w:color="auto"/>
              <w:tl2br w:val="single" w:sz="4" w:space="0" w:color="auto"/>
            </w:tcBorders>
            <w:vAlign w:val="center"/>
            <w:hideMark/>
          </w:tcPr>
          <w:p w:rsidR="00415415" w:rsidRDefault="00415415">
            <w:pPr>
              <w:widowControl w:val="0"/>
              <w:autoSpaceDE w:val="0"/>
              <w:autoSpaceDN w:val="0"/>
              <w:ind w:firstLine="709"/>
              <w:jc w:val="right"/>
              <w:rPr>
                <w:rFonts w:ascii="Times New Roman" w:hAnsi="Times New Roman"/>
                <w:sz w:val="28"/>
                <w:szCs w:val="28"/>
              </w:rPr>
            </w:pPr>
            <w:r>
              <w:rPr>
                <w:rFonts w:ascii="Times New Roman" w:hAnsi="Times New Roman"/>
                <w:sz w:val="28"/>
                <w:szCs w:val="28"/>
              </w:rPr>
              <w:lastRenderedPageBreak/>
              <w:t xml:space="preserve">Риск средств </w:t>
            </w:r>
          </w:p>
          <w:p w:rsidR="00415415" w:rsidRDefault="00415415">
            <w:pPr>
              <w:widowControl w:val="0"/>
              <w:autoSpaceDE w:val="0"/>
              <w:autoSpaceDN w:val="0"/>
              <w:ind w:firstLine="709"/>
              <w:jc w:val="right"/>
              <w:rPr>
                <w:rFonts w:ascii="Times New Roman" w:hAnsi="Times New Roman"/>
                <w:sz w:val="28"/>
                <w:szCs w:val="28"/>
              </w:rPr>
            </w:pPr>
            <w:r>
              <w:rPr>
                <w:rFonts w:ascii="Times New Roman" w:hAnsi="Times New Roman"/>
                <w:sz w:val="28"/>
                <w:szCs w:val="28"/>
              </w:rPr>
              <w:t>контроля</w:t>
            </w:r>
          </w:p>
          <w:p w:rsidR="00415415" w:rsidRDefault="00415415">
            <w:pPr>
              <w:widowControl w:val="0"/>
              <w:autoSpaceDE w:val="0"/>
              <w:autoSpaceDN w:val="0"/>
              <w:rPr>
                <w:rFonts w:ascii="Times New Roman" w:hAnsi="Times New Roman"/>
                <w:sz w:val="28"/>
                <w:szCs w:val="28"/>
              </w:rPr>
            </w:pPr>
            <w:proofErr w:type="spellStart"/>
            <w:r>
              <w:rPr>
                <w:rFonts w:ascii="Times New Roman" w:hAnsi="Times New Roman"/>
                <w:sz w:val="28"/>
                <w:szCs w:val="28"/>
              </w:rPr>
              <w:t>Неотъем</w:t>
            </w:r>
            <w:proofErr w:type="spellEnd"/>
            <w:r>
              <w:rPr>
                <w:rFonts w:ascii="Times New Roman" w:hAnsi="Times New Roman"/>
                <w:sz w:val="28"/>
                <w:szCs w:val="28"/>
              </w:rPr>
              <w:t>-</w:t>
            </w:r>
          </w:p>
          <w:p w:rsidR="00415415" w:rsidRDefault="00415415">
            <w:pPr>
              <w:widowControl w:val="0"/>
              <w:autoSpaceDE w:val="0"/>
              <w:autoSpaceDN w:val="0"/>
              <w:rPr>
                <w:rFonts w:ascii="Times New Roman" w:hAnsi="Times New Roman"/>
                <w:sz w:val="28"/>
                <w:szCs w:val="28"/>
              </w:rPr>
            </w:pPr>
            <w:proofErr w:type="spellStart"/>
            <w:r>
              <w:rPr>
                <w:rFonts w:ascii="Times New Roman" w:hAnsi="Times New Roman"/>
                <w:sz w:val="28"/>
                <w:szCs w:val="28"/>
              </w:rPr>
              <w:t>лемый</w:t>
            </w:r>
            <w:proofErr w:type="spellEnd"/>
            <w:r>
              <w:rPr>
                <w:rFonts w:ascii="Times New Roman" w:hAnsi="Times New Roman"/>
                <w:sz w:val="28"/>
                <w:szCs w:val="28"/>
              </w:rPr>
              <w:t xml:space="preserve"> </w:t>
            </w:r>
          </w:p>
          <w:p w:rsidR="00415415" w:rsidRDefault="00415415">
            <w:pPr>
              <w:widowControl w:val="0"/>
              <w:autoSpaceDE w:val="0"/>
              <w:autoSpaceDN w:val="0"/>
              <w:rPr>
                <w:rFonts w:ascii="Times New Roman" w:hAnsi="Times New Roman"/>
                <w:b/>
                <w:sz w:val="28"/>
                <w:szCs w:val="28"/>
              </w:rPr>
            </w:pPr>
            <w:r>
              <w:rPr>
                <w:rFonts w:ascii="Times New Roman" w:hAnsi="Times New Roman"/>
                <w:sz w:val="28"/>
                <w:szCs w:val="28"/>
              </w:rPr>
              <w:t>риск</w:t>
            </w:r>
          </w:p>
        </w:tc>
        <w:tc>
          <w:tcPr>
            <w:tcW w:w="2268"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ind w:firstLine="709"/>
              <w:rPr>
                <w:rFonts w:ascii="Times New Roman" w:hAnsi="Times New Roman"/>
                <w:sz w:val="28"/>
                <w:szCs w:val="28"/>
              </w:rPr>
            </w:pPr>
            <w:r>
              <w:rPr>
                <w:rFonts w:ascii="Times New Roman" w:hAnsi="Times New Roman"/>
                <w:sz w:val="28"/>
                <w:szCs w:val="28"/>
              </w:rPr>
              <w:t>высокий</w:t>
            </w:r>
          </w:p>
        </w:tc>
        <w:tc>
          <w:tcPr>
            <w:tcW w:w="2315"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ind w:firstLine="709"/>
              <w:rPr>
                <w:rFonts w:ascii="Times New Roman" w:hAnsi="Times New Roman"/>
                <w:b/>
                <w:sz w:val="28"/>
                <w:szCs w:val="28"/>
              </w:rPr>
            </w:pPr>
            <w:r>
              <w:rPr>
                <w:rFonts w:ascii="Times New Roman" w:hAnsi="Times New Roman"/>
                <w:sz w:val="28"/>
                <w:szCs w:val="28"/>
              </w:rPr>
              <w:t>средний</w:t>
            </w:r>
          </w:p>
        </w:tc>
        <w:tc>
          <w:tcPr>
            <w:tcW w:w="2073"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ind w:firstLine="709"/>
              <w:rPr>
                <w:rFonts w:ascii="Times New Roman" w:hAnsi="Times New Roman"/>
                <w:b/>
                <w:sz w:val="28"/>
                <w:szCs w:val="28"/>
              </w:rPr>
            </w:pPr>
            <w:r>
              <w:rPr>
                <w:rFonts w:ascii="Times New Roman" w:hAnsi="Times New Roman"/>
                <w:sz w:val="28"/>
                <w:szCs w:val="28"/>
              </w:rPr>
              <w:t>низкий</w:t>
            </w:r>
          </w:p>
        </w:tc>
      </w:tr>
      <w:tr w:rsidR="00415415" w:rsidTr="00415415">
        <w:tc>
          <w:tcPr>
            <w:tcW w:w="2689"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rPr>
                <w:rFonts w:ascii="Times New Roman" w:hAnsi="Times New Roman"/>
                <w:sz w:val="28"/>
                <w:szCs w:val="28"/>
              </w:rPr>
            </w:pPr>
            <w:r>
              <w:rPr>
                <w:rFonts w:ascii="Times New Roman" w:hAnsi="Times New Roman"/>
                <w:sz w:val="28"/>
                <w:szCs w:val="28"/>
              </w:rPr>
              <w:t>высокий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 xml:space="preserve">приемлемый риск </w:t>
            </w:r>
            <w:proofErr w:type="spellStart"/>
            <w:r>
              <w:rPr>
                <w:rFonts w:ascii="Times New Roman" w:hAnsi="Times New Roman"/>
                <w:sz w:val="28"/>
                <w:szCs w:val="28"/>
              </w:rPr>
              <w:t>необнаружения</w:t>
            </w:r>
            <w:proofErr w:type="spellEnd"/>
          </w:p>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НИЗКИЙ</w:t>
            </w:r>
          </w:p>
        </w:tc>
        <w:tc>
          <w:tcPr>
            <w:tcW w:w="2315"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 xml:space="preserve">приемлемый риск </w:t>
            </w:r>
            <w:proofErr w:type="spellStart"/>
            <w:r>
              <w:rPr>
                <w:rFonts w:ascii="Times New Roman" w:hAnsi="Times New Roman"/>
                <w:sz w:val="28"/>
                <w:szCs w:val="28"/>
              </w:rPr>
              <w:t>необнаружения</w:t>
            </w:r>
            <w:proofErr w:type="spellEnd"/>
          </w:p>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НИЗКИЙ</w:t>
            </w:r>
          </w:p>
        </w:tc>
        <w:tc>
          <w:tcPr>
            <w:tcW w:w="2073"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 xml:space="preserve">приемлемый риск </w:t>
            </w:r>
            <w:proofErr w:type="spellStart"/>
            <w:r>
              <w:rPr>
                <w:rFonts w:ascii="Times New Roman" w:hAnsi="Times New Roman"/>
                <w:sz w:val="28"/>
                <w:szCs w:val="28"/>
              </w:rPr>
              <w:t>необнаружения</w:t>
            </w:r>
            <w:proofErr w:type="spellEnd"/>
          </w:p>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СРЕДНИЙ</w:t>
            </w:r>
          </w:p>
        </w:tc>
      </w:tr>
      <w:tr w:rsidR="00415415" w:rsidTr="00415415">
        <w:tc>
          <w:tcPr>
            <w:tcW w:w="2689"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rPr>
                <w:rFonts w:ascii="Times New Roman" w:hAnsi="Times New Roman"/>
                <w:sz w:val="28"/>
                <w:szCs w:val="28"/>
              </w:rPr>
            </w:pPr>
            <w:r>
              <w:rPr>
                <w:rFonts w:ascii="Times New Roman" w:hAnsi="Times New Roman"/>
                <w:sz w:val="28"/>
                <w:szCs w:val="28"/>
              </w:rPr>
              <w:t>средний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 xml:space="preserve">приемлемый риск </w:t>
            </w:r>
            <w:proofErr w:type="spellStart"/>
            <w:r>
              <w:rPr>
                <w:rFonts w:ascii="Times New Roman" w:hAnsi="Times New Roman"/>
                <w:sz w:val="28"/>
                <w:szCs w:val="28"/>
              </w:rPr>
              <w:t>необнаружения</w:t>
            </w:r>
            <w:proofErr w:type="spellEnd"/>
          </w:p>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НИЗКИЙ</w:t>
            </w:r>
          </w:p>
        </w:tc>
        <w:tc>
          <w:tcPr>
            <w:tcW w:w="2315"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 xml:space="preserve">приемлемый риск </w:t>
            </w:r>
            <w:proofErr w:type="spellStart"/>
            <w:r>
              <w:rPr>
                <w:rFonts w:ascii="Times New Roman" w:hAnsi="Times New Roman"/>
                <w:sz w:val="28"/>
                <w:szCs w:val="28"/>
              </w:rPr>
              <w:t>необнаружения</w:t>
            </w:r>
            <w:proofErr w:type="spellEnd"/>
          </w:p>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СРЕДНИЙ</w:t>
            </w:r>
          </w:p>
        </w:tc>
        <w:tc>
          <w:tcPr>
            <w:tcW w:w="2073"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 xml:space="preserve">приемлемый риск </w:t>
            </w:r>
            <w:proofErr w:type="spellStart"/>
            <w:r>
              <w:rPr>
                <w:rFonts w:ascii="Times New Roman" w:hAnsi="Times New Roman"/>
                <w:sz w:val="28"/>
                <w:szCs w:val="28"/>
              </w:rPr>
              <w:t>необнаружения</w:t>
            </w:r>
            <w:proofErr w:type="spellEnd"/>
          </w:p>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ВЫСОКИЙ</w:t>
            </w:r>
          </w:p>
        </w:tc>
      </w:tr>
      <w:tr w:rsidR="00415415" w:rsidTr="00415415">
        <w:tc>
          <w:tcPr>
            <w:tcW w:w="2689"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rPr>
                <w:rFonts w:ascii="Times New Roman" w:hAnsi="Times New Roman"/>
                <w:sz w:val="28"/>
                <w:szCs w:val="28"/>
              </w:rPr>
            </w:pPr>
            <w:r>
              <w:rPr>
                <w:rFonts w:ascii="Times New Roman" w:hAnsi="Times New Roman"/>
                <w:sz w:val="28"/>
                <w:szCs w:val="28"/>
              </w:rPr>
              <w:t>низкий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 xml:space="preserve">приемлемый риск </w:t>
            </w:r>
            <w:proofErr w:type="spellStart"/>
            <w:r>
              <w:rPr>
                <w:rFonts w:ascii="Times New Roman" w:hAnsi="Times New Roman"/>
                <w:sz w:val="28"/>
                <w:szCs w:val="28"/>
              </w:rPr>
              <w:t>необнаружения</w:t>
            </w:r>
            <w:proofErr w:type="spellEnd"/>
          </w:p>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СРЕДНИЙ</w:t>
            </w:r>
          </w:p>
        </w:tc>
        <w:tc>
          <w:tcPr>
            <w:tcW w:w="2315"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 xml:space="preserve">приемлемый риск </w:t>
            </w:r>
            <w:proofErr w:type="spellStart"/>
            <w:r>
              <w:rPr>
                <w:rFonts w:ascii="Times New Roman" w:hAnsi="Times New Roman"/>
                <w:sz w:val="28"/>
                <w:szCs w:val="28"/>
              </w:rPr>
              <w:t>необнаружения</w:t>
            </w:r>
            <w:proofErr w:type="spellEnd"/>
          </w:p>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ВЫСОКИЙ</w:t>
            </w:r>
          </w:p>
        </w:tc>
        <w:tc>
          <w:tcPr>
            <w:tcW w:w="2073"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 xml:space="preserve">приемлемый риск </w:t>
            </w:r>
            <w:proofErr w:type="spellStart"/>
            <w:r>
              <w:rPr>
                <w:rFonts w:ascii="Times New Roman" w:hAnsi="Times New Roman"/>
                <w:sz w:val="28"/>
                <w:szCs w:val="28"/>
              </w:rPr>
              <w:t>необнаружения</w:t>
            </w:r>
            <w:proofErr w:type="spellEnd"/>
          </w:p>
          <w:p w:rsidR="00415415" w:rsidRDefault="00415415">
            <w:pPr>
              <w:widowControl w:val="0"/>
              <w:autoSpaceDE w:val="0"/>
              <w:autoSpaceDN w:val="0"/>
              <w:jc w:val="center"/>
              <w:rPr>
                <w:rFonts w:ascii="Times New Roman" w:hAnsi="Times New Roman"/>
                <w:sz w:val="28"/>
                <w:szCs w:val="28"/>
              </w:rPr>
            </w:pPr>
            <w:r>
              <w:rPr>
                <w:rFonts w:ascii="Times New Roman" w:hAnsi="Times New Roman"/>
                <w:sz w:val="28"/>
                <w:szCs w:val="28"/>
              </w:rPr>
              <w:t>ВЫСОКИЙ</w:t>
            </w:r>
          </w:p>
        </w:tc>
      </w:tr>
    </w:tbl>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3.1.14. На риск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влияют эффективность контрольных процедур и их применение членами рабочей группы.</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Default="00415415" w:rsidP="00A44B2D">
      <w:pPr>
        <w:pStyle w:val="a6"/>
        <w:jc w:val="center"/>
        <w:rPr>
          <w:rFonts w:ascii="Times New Roman" w:hAnsi="Times New Roman" w:cs="Times New Roman"/>
          <w:b/>
          <w:sz w:val="28"/>
          <w:szCs w:val="28"/>
        </w:rPr>
      </w:pPr>
      <w:bookmarkStart w:id="16" w:name="_Toc182821754"/>
      <w:bookmarkStart w:id="17" w:name="_Toc182821925"/>
      <w:r w:rsidRPr="00A44B2D">
        <w:rPr>
          <w:rFonts w:ascii="Times New Roman" w:hAnsi="Times New Roman" w:cs="Times New Roman"/>
          <w:b/>
          <w:sz w:val="28"/>
          <w:szCs w:val="28"/>
        </w:rPr>
        <w:t>3.2. Процедуры оценки рисков</w:t>
      </w:r>
      <w:bookmarkEnd w:id="16"/>
      <w:bookmarkEnd w:id="17"/>
    </w:p>
    <w:p w:rsidR="00A44B2D" w:rsidRPr="00A44B2D" w:rsidRDefault="00A44B2D" w:rsidP="00A44B2D">
      <w:pPr>
        <w:pStyle w:val="a6"/>
        <w:jc w:val="center"/>
        <w:rPr>
          <w:rFonts w:ascii="Times New Roman" w:hAnsi="Times New Roman" w:cs="Times New Roman"/>
          <w:b/>
          <w:sz w:val="28"/>
          <w:szCs w:val="28"/>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3.2.1. </w:t>
      </w:r>
      <w:r>
        <w:rPr>
          <w:rFonts w:ascii="Times New Roman" w:eastAsia="Times New Roman" w:hAnsi="Times New Roman" w:cs="Times New Roman"/>
          <w:sz w:val="28"/>
          <w:szCs w:val="28"/>
          <w:u w:val="single"/>
          <w:lang w:eastAsia="ru-RU"/>
        </w:rPr>
        <w:t>Оценка рисков</w:t>
      </w:r>
      <w:r>
        <w:rPr>
          <w:rFonts w:ascii="Times New Roman" w:eastAsia="Times New Roman" w:hAnsi="Times New Roman" w:cs="Times New Roman"/>
          <w:sz w:val="28"/>
          <w:szCs w:val="28"/>
          <w:lang w:eastAsia="ru-RU"/>
        </w:rPr>
        <w:t xml:space="preserve"> – это процесс, с помощью которого члены рабочей группы выявляют и оценивают риски искажения, чтобы определить наиболее результативные и эффективные контрольные процедуры, направленные на снижение рисков искажения и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до приемлемого уровня. </w:t>
      </w:r>
    </w:p>
    <w:p w:rsidR="00514AC8"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3.2.2. Оцененные членами рабочей группы риски могут влиять как на виды проводимых контрольных процедур, так и на их сочетание.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Процедуры оценки рисков обеспечивают основу для разработки и осуществления контрольных процедур в целях минимизации рисков искажения и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до приемлемо низкого уровня. Уровень рисков искажения и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определяется в соответствии с таблицей, приведенной в пункте 3.1.13. Методических рекомендаций.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3.2.3. В рамках проведения оценки рисков члены рабочей группы могут провести аналитические процедуры для выявления любых отклонений или зависимостей в финансовых данных и информации нефинансового характера, которые противоречат или отличаются от ожиданий членов рабочей группы, сформированных на основе изучения объекта контроля, и которые могут указывать на наличие рисков искажения.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3.2.4. Аналитические процедуры при проведении контрольного мероприятия обычно проводятся на этапе подготовки к контрольному мероприятию и помогают определить содержание, сроки и объем контрольных процедур.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lastRenderedPageBreak/>
        <w:t>3.2.5. Проведение аналитических процедур может помочь выявить проблемы, о которых членам рабочей группы не было известно, и помочь в оценке рис</w:t>
      </w:r>
      <w:r>
        <w:rPr>
          <w:rFonts w:ascii="Times New Roman" w:eastAsia="Times New Roman" w:hAnsi="Times New Roman" w:cs="Times New Roman"/>
          <w:sz w:val="28"/>
          <w:szCs w:val="28"/>
          <w:lang w:eastAsia="ru-RU"/>
        </w:rPr>
        <w:t>ков искажения в целях обеспечения основы для разработки и осуществления контрольных процедур в ответ на выявленные риски.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3.2.6. В результате проведения аналитических процедур могут быть выявлены нестандартные операции или события, а также суммы, коэффициенты и тенденции, которые могут свидетельствовать о наличии вопросов, способных оказать влияние на проводимое контрольное мероприятие.</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3.2.7. Помимо аналитических процедур члены рабочей группы могут провести дополнительные процедуры оценки рисков, которые включают следующее:</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направление запросов объектам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наблюдение за событиями деятельности объекта контроля и их анализ;</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анализ влияния действующего законодательства и иных нормативных правовых актов на финансово-хозяйственную деятельность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анализ документов (планов, стратегии), бухгалтерских записей, регламентов, отчетов, подготовленных руководством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ревизия помещений, объектов основных средств, находящихся на учете у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учет предыдущего опыта работы членов рабочей группы с объектом контроля и контрольных процедур, выполненных в ходе проведения предыдущих контрольных мероприятий. Данная оценка может дать информацию об имевших место в прошлом нарушениях (искажениях) и о своевременности их исправления; специфике деятельности объекта контроля; значительных изменениях, которые могли претерпеть объект контроля или его деятельность после окончания предыдущего проверяемого периода, что может помочь получить понимание объекта контроля для выявления и оценки рисков искажения; где члены рабочей группы испытывали трудности при выполнении необходимых контрольных процедур, например, в связи с их сложностью;</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прочие процедуры, основанные на специфике деятельности объекта контроля и присущих ей рисках и профессиональном суждении членов рабочей группы.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3.2.8. Членам рабочей группы следует установить, остается ли актуальной информация, полученная в предыдущих периодах, если они намерены использовать данную информацию для целей оценки рисков в ходе текущего контрольного мероприятия. Чтобы определить, произошли ли изменения, которые могут затронуть актуальность такой информации, члены рабочей группы проводят предварительное изучение предмета проверки и объекта контроля посредством сбора и изучения необходимой информации.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3.2.9. При получении дополнительной информации об объекте контроля члены рабочей группы изучают необходимость пересмотра результатов первоначальной оценки рисков или изменения содержания, сроков или объемов запланированных контрольных процедур.</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3.2.10. При определении содержания, сроков и объемов контрольных процедур члены рабочей группы должны учитывать, что можно запланировать и выполнить контрольные процедуры верно, но доказательства, полученные по результатам контрольных процедур, могут быть недостоверны и недостаточны для снижения выявленных рисков до приемлемого уровня.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3.2.11. Для того чтобы повысить эффективность контрольной процедуры и ее применения и снизить шансы, что члены рабочей группы могут избрать контрольную процедуру неверно или неверно истолковать результаты такой процедуры, необходимо:</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проведение соответствующей подготовки контрольного мероприятия;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включение в состав членов рабочей группы сотрудников, обладающих требуемыми профессиональными компетенциями;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применение профессионального скептицизма;</w:t>
      </w:r>
    </w:p>
    <w:p w:rsidR="00514AC8"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осуществление контроля за ходом проведения контрольного мероприятия и проверка выполненной работы со стороны </w:t>
      </w:r>
      <w:r w:rsidR="00514AC8">
        <w:rPr>
          <w:rFonts w:ascii="Times New Roman" w:eastAsia="Times New Roman" w:hAnsi="Times New Roman" w:cs="Times New Roman"/>
          <w:sz w:val="28"/>
          <w:szCs w:val="28"/>
          <w:lang w:eastAsia="ru-RU"/>
        </w:rPr>
        <w:t>руководителя контрольного мероприятия.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3.2.12. Результаты оценки рисков используются при корректировке целей и формулировании вопросов программы контрольного мероприятия, а также содержания, сроков и объема контрольных процедур, осуществляемых в ходе проведения контрольного мероприятия.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3.2.13. Если в ходе проведения контрольного мероприятия члены рабочей группы делают вывод о том, что первоначальная оценка рисков должна быть скорректирована, членам рабочей группы следует скорректировать первоначальную оценку рисков, пересмотреть содержание, сроки и объем запланированных контрольных процедур.</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3.2.14. </w:t>
      </w:r>
      <w:r>
        <w:rPr>
          <w:rFonts w:ascii="Times New Roman" w:eastAsia="Times New Roman" w:hAnsi="Times New Roman" w:cs="Times New Roman"/>
          <w:color w:val="000000" w:themeColor="text1"/>
          <w:sz w:val="28"/>
          <w:szCs w:val="28"/>
          <w:lang w:eastAsia="ru-RU"/>
        </w:rPr>
        <w:t xml:space="preserve">На этапе подготовки к контрольному мероприятию </w:t>
      </w:r>
      <w:r>
        <w:rPr>
          <w:rFonts w:ascii="Times New Roman" w:eastAsia="Times New Roman" w:hAnsi="Times New Roman" w:cs="Times New Roman"/>
          <w:sz w:val="28"/>
          <w:szCs w:val="28"/>
          <w:lang w:eastAsia="ru-RU"/>
        </w:rPr>
        <w:t xml:space="preserve">следует оценить неотъемлемый риск, риск средств контроля и риск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3.2.15. В процессе предварительного изучения объекта контроля необходимо оценить:</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наличие факторов (действий или событий), оказывающих отрицательное влияние на финансово-хозяйственную деятельность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возможные нарушения и недостатки в работе объекта контроля в результате этого влияния, а также их последствия;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уровень рисков и степень их влияния на результаты деятельности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3.2.16. Результаты оценки рисков используются при выборе целей и вопросов программы контрольного мероприятия, а также содержания, сроков и объема контрольных процедур, осуществляемых на объекте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3.2.17. При анализе неотъемлемого риска необходимо разграничивать и определять внешние и внутренние факторы, которые могут оказывать отрицательное влияние на финансово-хозяйственную деятельность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3.2.18. К внешним относятся те факторы, которые вызваны влиянием политических, экономических, социальных и иных действий или событий, не </w:t>
      </w:r>
      <w:r>
        <w:rPr>
          <w:rFonts w:ascii="Times New Roman" w:eastAsia="Times New Roman" w:hAnsi="Times New Roman" w:cs="Times New Roman"/>
          <w:sz w:val="28"/>
          <w:szCs w:val="28"/>
          <w:lang w:eastAsia="ru-RU"/>
        </w:rPr>
        <w:lastRenderedPageBreak/>
        <w:t xml:space="preserve">зависящих от объекта контроля, и которые воздействуют на его деятельность извне (изменение структуры и функций органов </w:t>
      </w:r>
      <w:r w:rsidR="00A94B07">
        <w:rPr>
          <w:rFonts w:ascii="Times New Roman" w:eastAsia="Times New Roman" w:hAnsi="Times New Roman" w:cs="Times New Roman"/>
          <w:sz w:val="28"/>
          <w:szCs w:val="28"/>
          <w:lang w:eastAsia="ru-RU"/>
        </w:rPr>
        <w:t xml:space="preserve">исполнительной </w:t>
      </w:r>
      <w:r>
        <w:rPr>
          <w:rFonts w:ascii="Times New Roman" w:eastAsia="Times New Roman" w:hAnsi="Times New Roman" w:cs="Times New Roman"/>
          <w:sz w:val="28"/>
          <w:szCs w:val="28"/>
          <w:lang w:eastAsia="ru-RU"/>
        </w:rPr>
        <w:t>власти и (или) органов местного самоуправления, принятие новых нормативных правовых актов, воздействие окружающей среды и т.п.).</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3.2.19. Внутренние факторы связаны с проблемами, существующими в деятельности самого объекта контроля. В качестве таковых могут выступать: частые структурные изменения и смена руководителей подразделений, бездеятельность руководства объекта контроля в отношении недостатков, выявленных контролирующими органами, высокая текучесть кадров и т. п.</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3.2.20. При проведении оценки неотъемлемого риска необходимо анализировать и учитывать следующие факторы финансово-хозяйственной деятельности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особенности функционирования и текущего экономического положения сферы деятельности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специфические особенности осуществляемой объектом контроля деятельности;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наличие нестандартных и сложных хозяйственных операций;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наличие хозяйственных операций, в порядке оформления которых имеются разночтения в нормативных правовых актах и оформление которых может быть основано полностью или частично на субъективном подходе исполнителей;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квалификацию сотрудников, ответственных за вопросы, входящие в предмет проверки;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наличие отдельных счетов учета, в которых существует высокая вероятность преднамеренных искажений в целях сокрытия возможных злоупотреблений;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возможность наличия внешнего влияния на руководителей и сотрудников объекта контроля в целях достижения определенных показателей и выполнения поставленных задач или возложенных функций;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наличие и состояние организации внутреннего финансового контроля на объекте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эффективность функционирования информационных систем, связанных с предметом проверки;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прочие аспекты, на основании которых с учетом использования профессионального суждения члены рабочей группы могут сделать вывод о наличии неотъемлемого риска.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3.2.21. Для оценки неотъемлемого риска необходимо определить:</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содержание риска;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относится ли риск к предмету проверки в целом или к отдельному аспекту подготовки информации о предмете проверки;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относится ли риск к рискам искажения, возникающим вследствие непреднамеренной ошибки, или к рискам искажения, возникающим вследствие преднамеренных действий. Члены рабочей группы должны учитывать, что риски искажения, возникающие вследствие преднамеренных действий, при </w:t>
      </w:r>
      <w:r>
        <w:rPr>
          <w:rFonts w:ascii="Times New Roman" w:eastAsia="Times New Roman" w:hAnsi="Times New Roman" w:cs="Times New Roman"/>
          <w:sz w:val="28"/>
          <w:szCs w:val="28"/>
          <w:lang w:eastAsia="ru-RU"/>
        </w:rPr>
        <w:lastRenderedPageBreak/>
        <w:t>прочих равных условиях выше рисков искажения, возникающих вследствие непреднамеренной ошибки;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находится ли риск под влиянием факторов, которые требуют особого рассмотрения, то есть связан ли он со сложными счетом или операцией, требует ли субъективной оценки, подвержен ли неопределенности оценки;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какова вероятность возникновения нарушения (искажения) вследствие данного риска;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какова возможная величина нарушения (искажения). При анализе величины искажения необходимо руководствоваться уровнем существенности.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3.2.22. Члены рабочей группы должны оценивать риск искажения как в отношении предмета проверки в целом, так и в отношении основных аспектов подготовки информации о предмете проверки. Это необходимо для определения содержания, сроков и объема контрольных процедур, необходимых для получения достаточного количества достоверных доказательств.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3.2.23. Выделяют следующие основные аспекты подготовки информации о предмете проверки:</w:t>
      </w:r>
    </w:p>
    <w:p w:rsidR="00415415" w:rsidRDefault="00415415" w:rsidP="00415415">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основные аспекты подготовки информации о видах операций и событиях за проверяемый период:</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наличие – операции и события, отраженные в учете, имели место и имеют отношение к объекту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полнота – все операции и события, которые должны быть учтены, были учтены;</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точность – суммы и прочие данные, касающиеся учтенных операций и событий, отражены надлежащим образом;</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своевременность признания – операции и события отражены в правильном отчетном периоде;</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классификация – операции и события отражены на надлежащих счетах;</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законность – финансово-хозяйственные операции и другие события в деятельности объекта контроля были осуществлены в соответствии с требованиями законодательства Российской Федерации;</w:t>
      </w:r>
    </w:p>
    <w:p w:rsidR="00415415" w:rsidRDefault="00415415" w:rsidP="00415415">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основные аспекты подготовки информации об остатках на счетах на конец периода: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существование – активы и пассивы действительно существуют;</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права и обязанности – объект контроля обладает правами на активы или контролирует их, и обязательства представляют собой законные обязанности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полнота – все активы и пассивы, которые необходимо было учесть, были учтены;</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оценка – активы и пассивы включены в информацию о предмете проверки с правильной оценкой;</w:t>
      </w:r>
    </w:p>
    <w:p w:rsidR="00415415" w:rsidRDefault="00415415" w:rsidP="00415415">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основные аспекты подготовки прочей раскрываемой информации о предмете проверки: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наличие, права, обязанности – раскрываемые события, операции и прочие </w:t>
      </w:r>
      <w:r>
        <w:rPr>
          <w:rFonts w:ascii="Times New Roman" w:eastAsia="Times New Roman" w:hAnsi="Times New Roman" w:cs="Times New Roman"/>
          <w:sz w:val="28"/>
          <w:szCs w:val="28"/>
          <w:lang w:eastAsia="ru-RU"/>
        </w:rPr>
        <w:lastRenderedPageBreak/>
        <w:t>вопросы имели место и имеют отношение к объекту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полнота – вся информация, которая должна быть раскрыта, была раскрыта;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классификация и понятность – информация представлена и описана надлежащим образом, раскрытие информации понятно изложено;</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точность и оценка – информация раскрыта точно и в надлежащих суммах.</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3.2.24. Для оценки риска средств контроля в ходе контрольного мероприятия необходимо последовательно изучать и оценивать состояние организации внутреннего финансового контроля и отдельные средства контроля объекта контроля на следующих этапах:</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этапе подготовки к контрольному мероприятию в процессе предварительного изучения объекта контроля происходит получение общего понимания организации внутреннего финансового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проведения контрольного мероприятия на объекте контроля проводится оценка эффективности организации внутреннего финансового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3.2.25. Проверка средств контроля осуществляется в целях получения доказательств относительно эффективности организации внутреннего финансового контроля, способности предотвращать или выявлять и исправлять нарушения (искажения) в финансово-хозяйственной деятельности объекта контроля и может включать в себя: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анализ состояния и эффективности организации внутреннего финансового контроля и мер, принимаемых руководством объекта контроля по результатам его работы;</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проверку документов, отражающих проведение финансово-хозяйственных операций, и получение в связи с этим доказательств того, что средства контроля функционировали эффективно;</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наблюдение за оформлением операций в целях получить доказательства функционирования средств контроля в случаях, когда невозможно получить прямые документальные подтверждения;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использование результатов других контрольных процедур для получения данных о работоспособности средств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3.2.26. В ходе контрольного мероприятия необходимо учитывать, что некоторые средства контроля на объекте контроля могут быть эффективны в целом, но не быть таковыми в отдельные периоды времени вследствие кратковременной замены работника, ответственного за данное направление средств контроля, в связи с отпуском, болезнью или в иных случаях, а также из-за особенностей работы бухгалтерии объекта контроля, отражающих сезонные периоды работы повышенной интенсивности.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3.2.27. Автоматизированные средства контроля могут снизить риск непреднамеренной ошибки, но не отменяют риск того, что некоторые лица могут преднамеренно обойти эти процедуры, например, путем изменения сумм, автоматически отражаемых в системе учета и подготовки отчетности. Более того, если при использовании информационных технологий информация </w:t>
      </w:r>
      <w:r>
        <w:rPr>
          <w:rFonts w:ascii="Times New Roman" w:eastAsia="Times New Roman" w:hAnsi="Times New Roman" w:cs="Times New Roman"/>
          <w:sz w:val="28"/>
          <w:szCs w:val="28"/>
          <w:lang w:eastAsia="ru-RU"/>
        </w:rPr>
        <w:lastRenderedPageBreak/>
        <w:t>передается в автоматическом режиме, в информационных системах может остаться чрезвычайно мало или не остаться вовсе никаких видимых доказательств такого вмешательства.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3.2.28. На объекте контроля проверяется эффективность функционирования тех средств контроля, на которые планируется полагаться в ходе контрольного мероприятия: чем в большей степени планируется на них полагаться, тем детальнее они должны быть проверены.</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3.2.29. Результаты проверки средств контроля используются при планировании контрольных процедур в соответствии с вопросами, установленными в программе контрольного мероприятия. Если оценка риска средств контроля по результатам проверки отличается от его предварительной оценки, необходимо изменить в соответствующую сторону временные рамки, содержание и объем контрольных процедур, проводимых в отношении вопросов программы контрольного мероприятия.</w:t>
      </w:r>
    </w:p>
    <w:p w:rsidR="00A44B2D" w:rsidRDefault="00A44B2D" w:rsidP="00A44B2D">
      <w:pPr>
        <w:pStyle w:val="a6"/>
        <w:ind w:left="2124" w:firstLine="708"/>
        <w:rPr>
          <w:rFonts w:ascii="Times New Roman" w:hAnsi="Times New Roman" w:cs="Times New Roman"/>
          <w:b/>
          <w:sz w:val="28"/>
          <w:szCs w:val="28"/>
        </w:rPr>
      </w:pPr>
      <w:bookmarkStart w:id="18" w:name="_Toc182821755"/>
      <w:bookmarkStart w:id="19" w:name="_Toc182821926"/>
    </w:p>
    <w:p w:rsidR="000D7A72" w:rsidRDefault="000D7A72" w:rsidP="00A44B2D">
      <w:pPr>
        <w:pStyle w:val="a6"/>
        <w:ind w:left="2124" w:firstLine="708"/>
        <w:rPr>
          <w:rFonts w:ascii="Times New Roman" w:hAnsi="Times New Roman" w:cs="Times New Roman"/>
          <w:b/>
          <w:sz w:val="28"/>
          <w:szCs w:val="28"/>
        </w:rPr>
      </w:pPr>
    </w:p>
    <w:p w:rsidR="00415415" w:rsidRDefault="00415415" w:rsidP="00A44B2D">
      <w:pPr>
        <w:pStyle w:val="a6"/>
        <w:ind w:left="2124" w:firstLine="708"/>
        <w:rPr>
          <w:rFonts w:ascii="Times New Roman" w:hAnsi="Times New Roman" w:cs="Times New Roman"/>
          <w:b/>
          <w:sz w:val="28"/>
          <w:szCs w:val="28"/>
        </w:rPr>
      </w:pPr>
      <w:r w:rsidRPr="00A44B2D">
        <w:rPr>
          <w:rFonts w:ascii="Times New Roman" w:hAnsi="Times New Roman" w:cs="Times New Roman"/>
          <w:b/>
          <w:sz w:val="28"/>
          <w:szCs w:val="28"/>
        </w:rPr>
        <w:t>3.3. Классификация рисков</w:t>
      </w:r>
      <w:bookmarkEnd w:id="18"/>
      <w:bookmarkEnd w:id="19"/>
    </w:p>
    <w:p w:rsidR="00164AC4" w:rsidRPr="00A44B2D" w:rsidRDefault="00164AC4" w:rsidP="00A44B2D">
      <w:pPr>
        <w:pStyle w:val="a6"/>
        <w:ind w:left="2124" w:firstLine="708"/>
        <w:rPr>
          <w:rFonts w:ascii="Times New Roman" w:hAnsi="Times New Roman" w:cs="Times New Roman"/>
          <w:b/>
          <w:sz w:val="28"/>
          <w:szCs w:val="28"/>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 По результатам проведения процедур оценки рисков выявленные риски искажения в зависимости от их содержания, включая факторы вероятности и величины, могут быть оценены как:</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низкие;</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средние;</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высокие.</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 Риск искажения является высоким, если он согласно профессиональному суждению членов рабочей группы требует особого рассмотрения при проведении контрольного мероприятия (с точки зрения содержания, сроков и объема контрольных процедур).</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3.3.3. Риски искажения оцениваются как высокие из-за: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содержания риска;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вероятной величины потенциальных нарушений (искажений), в том числе возможности того, что риск может привести к многочисленным нарушениям (искажениям);</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вероятности возникновения риска.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3.3.4. Высокие риски искажения часто связаны со значимыми нестандартными операциями и вопросами, которые являются предметом суждения руководства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3.3.5. Риски искажения по нестандартным операциям могут быть высокими в связи со следующими обстоятельствами: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вмешательство руководства объекта контроля в определение порядка учета;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ручной сбор и обработка данных;</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сложность расчетов или принципов учета;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характер нестандартных операций, который может усложнить внедрение </w:t>
      </w:r>
      <w:r>
        <w:rPr>
          <w:rFonts w:ascii="Times New Roman" w:eastAsia="Times New Roman" w:hAnsi="Times New Roman" w:cs="Times New Roman"/>
          <w:sz w:val="28"/>
          <w:szCs w:val="28"/>
          <w:lang w:eastAsia="ru-RU"/>
        </w:rPr>
        <w:lastRenderedPageBreak/>
        <w:t>эффективных средств контроля за этими рисками;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прочие обстоятельства.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3.3.6. Вопросы, связанные с применением объектом контроля оценочных значений, могут включать расчеты элементов (показателей) информации о предмете проверки при отсутствии точного способа их определения.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3.3.7. Риски искажений по вопросам, связанным с оценочными значениями, могут быть высокими в связи со следующими обстоятельствами: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принципы учета в отношении оценочных значений могут интерпретироваться по-разному;</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оценочное значение является субъективным, сложным или требует допущений в отношении влияния будущих событий;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отсутствие внутренних нормативных документов, закрепляющих принципы формирования оценочных значений;</w:t>
      </w:r>
      <w:r>
        <w:rPr>
          <w:rStyle w:val="a4"/>
        </w:rPr>
        <w:t xml:space="preserve">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недостаточный уровень профессионализма сотрудников объекта контроля, отвечающих за процесс формирования оценочных значений;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прочие обстоятельства.</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3.3.8. Выявление высоких рисков искажения важно для проведения контрольного мероприятия, так как если высокие риски искажения не будут выявлены должным образом и в ответ на них не будут выполнены все необходимые контрольные процедуры, то тем самым будет поставлена под вопрос корректность выводов, сформированных по результатам проведения контрольного мероприятия. Неверно выявленный высокий риск искажения ведет к нерациональному использованию рабочего времени членами рабочей группы.</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 xml:space="preserve">3.3.9. Высокие риски искажения могут быть </w:t>
      </w:r>
      <w:r>
        <w:rPr>
          <w:rFonts w:ascii="Times New Roman" w:eastAsia="Times New Roman" w:hAnsi="Times New Roman" w:cs="Times New Roman"/>
          <w:color w:val="000000" w:themeColor="text1"/>
          <w:sz w:val="28"/>
          <w:szCs w:val="28"/>
          <w:lang w:eastAsia="ru-RU"/>
        </w:rPr>
        <w:t>выявлены в</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процессе подготовки и проведения контрольного мероприятия</w:t>
      </w:r>
      <w:r>
        <w:rPr>
          <w:rFonts w:ascii="Times New Roman" w:eastAsia="Times New Roman" w:hAnsi="Times New Roman" w:cs="Times New Roman"/>
          <w:sz w:val="28"/>
          <w:szCs w:val="28"/>
          <w:lang w:eastAsia="ru-RU"/>
        </w:rPr>
        <w:t xml:space="preserve">, однако первоначально они должны рассматриваться в рамках проведения процедур оценки </w:t>
      </w:r>
      <w:r>
        <w:rPr>
          <w:rFonts w:ascii="Times New Roman" w:eastAsia="Times New Roman" w:hAnsi="Times New Roman" w:cs="Times New Roman"/>
          <w:color w:val="000000" w:themeColor="text1"/>
          <w:sz w:val="28"/>
          <w:szCs w:val="28"/>
          <w:lang w:eastAsia="ru-RU"/>
        </w:rPr>
        <w:t>рисков на этапе подготовки к контрольному мероприятию.</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t xml:space="preserve">3.3.10. Риски искажения, не относящиеся к высоким, считаются средними </w:t>
      </w:r>
      <w:r>
        <w:rPr>
          <w:rFonts w:ascii="Times New Roman" w:eastAsia="Times New Roman" w:hAnsi="Times New Roman" w:cs="Times New Roman"/>
          <w:sz w:val="28"/>
          <w:szCs w:val="28"/>
          <w:lang w:eastAsia="ru-RU"/>
        </w:rPr>
        <w:t xml:space="preserve">или низкими исходя из оценки вероятности наличия нарушения (искажения) и его величины (или степени влияния нарушения (искажения) на предмет проверки при невозможности определить количественную оценку величины нарушения (искажения). </w:t>
      </w:r>
    </w:p>
    <w:p w:rsidR="0092127A"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3.3.11. Вероятность наличия нарушения (искажения) определяется членами рабочей группы на основании профессионального суждения, которое формируется на этапе подготовки к контрольному мероприятию в ходе предварительного изучения объекта контроля, а также на этапе проведения контрольного мероприятия, в случае если членам рабочей группы становится известна более актуальная информация об объекте контроля, о предмете проверки и иная информация, которая может повлиять на оценку вероятности наличия и величины нарушения (искажения).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Таким образом, чем больше фактов, указывающих на вероятность наличия нарушения (искажения) в информации о предмете проверки, было получено членами рабочей группы и чем выше возможная величина такого </w:t>
      </w:r>
      <w:r>
        <w:rPr>
          <w:rFonts w:ascii="Times New Roman" w:eastAsia="Times New Roman" w:hAnsi="Times New Roman" w:cs="Times New Roman"/>
          <w:sz w:val="28"/>
          <w:szCs w:val="28"/>
          <w:lang w:eastAsia="ru-RU"/>
        </w:rPr>
        <w:lastRenderedPageBreak/>
        <w:t>нарушения (искажения), тем выше оценивается риск искажения. В случае если возможная величина нарушения (искажения) не превышает уровень существенности, однако члены рабочей группы пришли к выводу, что качественная оценка и (или) вероятность наличия нарушения (искажения) высокие, риск искажения оценивается как средний.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3.3.12. Взаимосвязь оценки риска искажения с вероятностью наличия нарушения (искажения) и его величиной представлена в следующей таблице.</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tbl>
      <w:tblPr>
        <w:tblStyle w:val="a5"/>
        <w:tblW w:w="0" w:type="auto"/>
        <w:tblInd w:w="0" w:type="dxa"/>
        <w:tblLook w:val="04A0" w:firstRow="1" w:lastRow="0" w:firstColumn="1" w:lastColumn="0" w:noHBand="0" w:noVBand="1"/>
      </w:tblPr>
      <w:tblGrid>
        <w:gridCol w:w="2928"/>
        <w:gridCol w:w="3208"/>
        <w:gridCol w:w="3209"/>
      </w:tblGrid>
      <w:tr w:rsidR="00415415" w:rsidTr="00415415">
        <w:tc>
          <w:tcPr>
            <w:tcW w:w="2928" w:type="dxa"/>
            <w:tcBorders>
              <w:top w:val="single" w:sz="4" w:space="0" w:color="auto"/>
              <w:left w:val="single" w:sz="4" w:space="0" w:color="auto"/>
              <w:bottom w:val="single" w:sz="4" w:space="0" w:color="auto"/>
              <w:right w:val="single" w:sz="4" w:space="0" w:color="auto"/>
              <w:tl2br w:val="single" w:sz="4" w:space="0" w:color="auto"/>
            </w:tcBorders>
            <w:vAlign w:val="center"/>
          </w:tcPr>
          <w:p w:rsidR="00415415" w:rsidRDefault="00415415">
            <w:pPr>
              <w:widowControl w:val="0"/>
              <w:autoSpaceDE w:val="0"/>
              <w:autoSpaceDN w:val="0"/>
              <w:ind w:firstLine="709"/>
              <w:jc w:val="right"/>
              <w:rPr>
                <w:rFonts w:ascii="Times New Roman" w:hAnsi="Times New Roman"/>
                <w:sz w:val="28"/>
                <w:szCs w:val="28"/>
                <w:lang w:eastAsia="ru-RU"/>
              </w:rPr>
            </w:pPr>
            <w:r>
              <w:rPr>
                <w:rFonts w:ascii="Times New Roman" w:hAnsi="Times New Roman"/>
                <w:sz w:val="28"/>
                <w:szCs w:val="28"/>
                <w:lang w:eastAsia="ru-RU"/>
              </w:rPr>
              <w:t>Величина возможного</w:t>
            </w:r>
          </w:p>
          <w:p w:rsidR="00415415" w:rsidRDefault="00415415">
            <w:pPr>
              <w:widowControl w:val="0"/>
              <w:autoSpaceDE w:val="0"/>
              <w:autoSpaceDN w:val="0"/>
              <w:ind w:firstLine="709"/>
              <w:jc w:val="right"/>
              <w:rPr>
                <w:rFonts w:ascii="Times New Roman" w:hAnsi="Times New Roman"/>
                <w:sz w:val="28"/>
                <w:szCs w:val="28"/>
                <w:lang w:eastAsia="ru-RU"/>
              </w:rPr>
            </w:pPr>
            <w:r>
              <w:rPr>
                <w:rFonts w:ascii="Times New Roman" w:hAnsi="Times New Roman"/>
                <w:sz w:val="28"/>
                <w:szCs w:val="28"/>
                <w:lang w:eastAsia="ru-RU"/>
              </w:rPr>
              <w:t xml:space="preserve">нарушения </w:t>
            </w:r>
          </w:p>
          <w:p w:rsidR="00415415" w:rsidRDefault="00415415">
            <w:pPr>
              <w:widowControl w:val="0"/>
              <w:autoSpaceDE w:val="0"/>
              <w:autoSpaceDN w:val="0"/>
              <w:ind w:firstLine="709"/>
              <w:jc w:val="right"/>
              <w:rPr>
                <w:rFonts w:ascii="Times New Roman" w:hAnsi="Times New Roman"/>
                <w:sz w:val="28"/>
                <w:szCs w:val="28"/>
                <w:lang w:eastAsia="ru-RU"/>
              </w:rPr>
            </w:pPr>
            <w:r>
              <w:rPr>
                <w:rFonts w:ascii="Times New Roman" w:hAnsi="Times New Roman"/>
                <w:sz w:val="28"/>
                <w:szCs w:val="28"/>
                <w:lang w:eastAsia="ru-RU"/>
              </w:rPr>
              <w:t>(искажения)</w:t>
            </w:r>
          </w:p>
          <w:p w:rsidR="00415415" w:rsidRDefault="00415415">
            <w:pPr>
              <w:widowControl w:val="0"/>
              <w:autoSpaceDE w:val="0"/>
              <w:autoSpaceDN w:val="0"/>
              <w:ind w:firstLine="709"/>
              <w:rPr>
                <w:rFonts w:ascii="Times New Roman" w:hAnsi="Times New Roman"/>
                <w:sz w:val="28"/>
                <w:szCs w:val="28"/>
                <w:lang w:eastAsia="ru-RU"/>
              </w:rPr>
            </w:pPr>
          </w:p>
          <w:p w:rsidR="00415415" w:rsidRDefault="00415415">
            <w:pPr>
              <w:widowControl w:val="0"/>
              <w:autoSpaceDE w:val="0"/>
              <w:autoSpaceDN w:val="0"/>
              <w:rPr>
                <w:rFonts w:ascii="Times New Roman" w:hAnsi="Times New Roman"/>
                <w:sz w:val="28"/>
                <w:szCs w:val="28"/>
                <w:lang w:eastAsia="ru-RU"/>
              </w:rPr>
            </w:pPr>
            <w:r>
              <w:rPr>
                <w:rFonts w:ascii="Times New Roman" w:hAnsi="Times New Roman"/>
                <w:sz w:val="28"/>
                <w:szCs w:val="28"/>
                <w:lang w:eastAsia="ru-RU"/>
              </w:rPr>
              <w:t>Вероятность</w:t>
            </w:r>
          </w:p>
          <w:p w:rsidR="00415415" w:rsidRDefault="00415415">
            <w:pPr>
              <w:widowControl w:val="0"/>
              <w:autoSpaceDE w:val="0"/>
              <w:autoSpaceDN w:val="0"/>
              <w:rPr>
                <w:rFonts w:ascii="Times New Roman" w:hAnsi="Times New Roman"/>
                <w:sz w:val="28"/>
                <w:szCs w:val="28"/>
                <w:lang w:eastAsia="ru-RU"/>
              </w:rPr>
            </w:pPr>
            <w:r>
              <w:rPr>
                <w:rFonts w:ascii="Times New Roman" w:hAnsi="Times New Roman"/>
                <w:sz w:val="28"/>
                <w:szCs w:val="28"/>
                <w:lang w:eastAsia="ru-RU"/>
              </w:rPr>
              <w:t xml:space="preserve">наличия </w:t>
            </w:r>
          </w:p>
          <w:p w:rsidR="00415415" w:rsidRDefault="00415415">
            <w:pPr>
              <w:widowControl w:val="0"/>
              <w:autoSpaceDE w:val="0"/>
              <w:autoSpaceDN w:val="0"/>
              <w:rPr>
                <w:rFonts w:ascii="Times New Roman" w:hAnsi="Times New Roman"/>
                <w:sz w:val="28"/>
                <w:szCs w:val="28"/>
                <w:lang w:eastAsia="ru-RU"/>
              </w:rPr>
            </w:pPr>
            <w:r>
              <w:rPr>
                <w:rFonts w:ascii="Times New Roman" w:hAnsi="Times New Roman"/>
                <w:sz w:val="28"/>
                <w:szCs w:val="28"/>
                <w:lang w:eastAsia="ru-RU"/>
              </w:rPr>
              <w:t>нарушения (искажения)</w:t>
            </w:r>
          </w:p>
        </w:tc>
        <w:tc>
          <w:tcPr>
            <w:tcW w:w="3208"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Выше уровня существенности</w:t>
            </w:r>
          </w:p>
        </w:tc>
        <w:tc>
          <w:tcPr>
            <w:tcW w:w="3209"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Ниже уровня существенности</w:t>
            </w:r>
          </w:p>
        </w:tc>
      </w:tr>
      <w:tr w:rsidR="00415415" w:rsidTr="00415415">
        <w:tc>
          <w:tcPr>
            <w:tcW w:w="2928" w:type="dxa"/>
            <w:tcBorders>
              <w:top w:val="single" w:sz="4" w:space="0" w:color="auto"/>
              <w:left w:val="single" w:sz="4" w:space="0" w:color="auto"/>
              <w:bottom w:val="single" w:sz="4" w:space="0" w:color="auto"/>
              <w:right w:val="single" w:sz="4" w:space="0" w:color="auto"/>
            </w:tcBorders>
            <w:hideMark/>
          </w:tcPr>
          <w:p w:rsidR="00415415" w:rsidRDefault="00415415">
            <w:pPr>
              <w:widowControl w:val="0"/>
              <w:autoSpaceDE w:val="0"/>
              <w:autoSpaceDN w:val="0"/>
              <w:rPr>
                <w:rFonts w:ascii="Times New Roman" w:hAnsi="Times New Roman"/>
                <w:sz w:val="28"/>
                <w:szCs w:val="28"/>
                <w:lang w:eastAsia="ru-RU"/>
              </w:rPr>
            </w:pPr>
            <w:r>
              <w:rPr>
                <w:rFonts w:ascii="Times New Roman" w:hAnsi="Times New Roman"/>
                <w:sz w:val="28"/>
                <w:szCs w:val="28"/>
                <w:lang w:eastAsia="ru-RU"/>
              </w:rPr>
              <w:t>высокая</w:t>
            </w:r>
          </w:p>
        </w:tc>
        <w:tc>
          <w:tcPr>
            <w:tcW w:w="3208" w:type="dxa"/>
            <w:tcBorders>
              <w:top w:val="single" w:sz="4" w:space="0" w:color="auto"/>
              <w:left w:val="single" w:sz="4" w:space="0" w:color="auto"/>
              <w:bottom w:val="single" w:sz="4" w:space="0" w:color="auto"/>
              <w:right w:val="single" w:sz="4" w:space="0" w:color="auto"/>
            </w:tcBorders>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высокий уровень риска искажения</w:t>
            </w:r>
          </w:p>
        </w:tc>
        <w:tc>
          <w:tcPr>
            <w:tcW w:w="3209" w:type="dxa"/>
            <w:tcBorders>
              <w:top w:val="single" w:sz="4" w:space="0" w:color="auto"/>
              <w:left w:val="single" w:sz="4" w:space="0" w:color="auto"/>
              <w:bottom w:val="single" w:sz="4" w:space="0" w:color="auto"/>
              <w:right w:val="single" w:sz="4" w:space="0" w:color="auto"/>
            </w:tcBorders>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низкий уровень риска искажения</w:t>
            </w:r>
          </w:p>
        </w:tc>
      </w:tr>
      <w:tr w:rsidR="00415415" w:rsidTr="00415415">
        <w:tc>
          <w:tcPr>
            <w:tcW w:w="2928" w:type="dxa"/>
            <w:tcBorders>
              <w:top w:val="single" w:sz="4" w:space="0" w:color="auto"/>
              <w:left w:val="single" w:sz="4" w:space="0" w:color="auto"/>
              <w:bottom w:val="single" w:sz="4" w:space="0" w:color="auto"/>
              <w:right w:val="single" w:sz="4" w:space="0" w:color="auto"/>
            </w:tcBorders>
            <w:hideMark/>
          </w:tcPr>
          <w:p w:rsidR="00415415" w:rsidRDefault="00415415">
            <w:pPr>
              <w:widowControl w:val="0"/>
              <w:autoSpaceDE w:val="0"/>
              <w:autoSpaceDN w:val="0"/>
              <w:rPr>
                <w:rFonts w:ascii="Times New Roman" w:hAnsi="Times New Roman"/>
                <w:sz w:val="28"/>
                <w:szCs w:val="28"/>
                <w:lang w:eastAsia="ru-RU"/>
              </w:rPr>
            </w:pPr>
            <w:r>
              <w:rPr>
                <w:rFonts w:ascii="Times New Roman" w:hAnsi="Times New Roman"/>
                <w:sz w:val="28"/>
                <w:szCs w:val="28"/>
                <w:lang w:eastAsia="ru-RU"/>
              </w:rPr>
              <w:t>средняя</w:t>
            </w:r>
          </w:p>
        </w:tc>
        <w:tc>
          <w:tcPr>
            <w:tcW w:w="3208" w:type="dxa"/>
            <w:tcBorders>
              <w:top w:val="single" w:sz="4" w:space="0" w:color="auto"/>
              <w:left w:val="single" w:sz="4" w:space="0" w:color="auto"/>
              <w:bottom w:val="single" w:sz="4" w:space="0" w:color="auto"/>
              <w:right w:val="single" w:sz="4" w:space="0" w:color="auto"/>
            </w:tcBorders>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средний уровень риска искажения</w:t>
            </w:r>
          </w:p>
        </w:tc>
        <w:tc>
          <w:tcPr>
            <w:tcW w:w="3209" w:type="dxa"/>
            <w:tcBorders>
              <w:top w:val="single" w:sz="4" w:space="0" w:color="auto"/>
              <w:left w:val="single" w:sz="4" w:space="0" w:color="auto"/>
              <w:bottom w:val="single" w:sz="4" w:space="0" w:color="auto"/>
              <w:right w:val="single" w:sz="4" w:space="0" w:color="auto"/>
            </w:tcBorders>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низкий уровень риска искажения</w:t>
            </w:r>
          </w:p>
        </w:tc>
      </w:tr>
      <w:tr w:rsidR="00415415" w:rsidTr="00415415">
        <w:tc>
          <w:tcPr>
            <w:tcW w:w="2928" w:type="dxa"/>
            <w:tcBorders>
              <w:top w:val="single" w:sz="4" w:space="0" w:color="auto"/>
              <w:left w:val="single" w:sz="4" w:space="0" w:color="auto"/>
              <w:bottom w:val="single" w:sz="4" w:space="0" w:color="auto"/>
              <w:right w:val="single" w:sz="4" w:space="0" w:color="auto"/>
            </w:tcBorders>
            <w:hideMark/>
          </w:tcPr>
          <w:p w:rsidR="00415415" w:rsidRDefault="00415415">
            <w:pPr>
              <w:widowControl w:val="0"/>
              <w:autoSpaceDE w:val="0"/>
              <w:autoSpaceDN w:val="0"/>
              <w:rPr>
                <w:rFonts w:ascii="Times New Roman" w:hAnsi="Times New Roman"/>
                <w:sz w:val="28"/>
                <w:szCs w:val="28"/>
                <w:lang w:eastAsia="ru-RU"/>
              </w:rPr>
            </w:pPr>
            <w:r>
              <w:rPr>
                <w:rFonts w:ascii="Times New Roman" w:hAnsi="Times New Roman"/>
                <w:sz w:val="28"/>
                <w:szCs w:val="28"/>
                <w:lang w:eastAsia="ru-RU"/>
              </w:rPr>
              <w:t>низкая</w:t>
            </w:r>
          </w:p>
        </w:tc>
        <w:tc>
          <w:tcPr>
            <w:tcW w:w="3208" w:type="dxa"/>
            <w:tcBorders>
              <w:top w:val="single" w:sz="4" w:space="0" w:color="auto"/>
              <w:left w:val="single" w:sz="4" w:space="0" w:color="auto"/>
              <w:bottom w:val="single" w:sz="4" w:space="0" w:color="auto"/>
              <w:right w:val="single" w:sz="4" w:space="0" w:color="auto"/>
            </w:tcBorders>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низкий уровень риска искажения</w:t>
            </w:r>
          </w:p>
        </w:tc>
        <w:tc>
          <w:tcPr>
            <w:tcW w:w="3209" w:type="dxa"/>
            <w:tcBorders>
              <w:top w:val="single" w:sz="4" w:space="0" w:color="auto"/>
              <w:left w:val="single" w:sz="4" w:space="0" w:color="auto"/>
              <w:bottom w:val="single" w:sz="4" w:space="0" w:color="auto"/>
              <w:right w:val="single" w:sz="4" w:space="0" w:color="auto"/>
            </w:tcBorders>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низкий уровень риска искажения</w:t>
            </w:r>
          </w:p>
        </w:tc>
      </w:tr>
    </w:tbl>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0D7A72" w:rsidRDefault="000D7A72"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3.3.13. Необходимое содержание и объем контрольных процедур определяются с учетом оценки существенности и рисков. Объем контрольных процедур увеличивается по мере повышения риска искажения. </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3.3.14. Для получения достаточного количества достоверных доказательств вследствие высокой оценки уровня риска искажения члены рабочей группы могут увеличить количество доказательств или получить другие доказательства, например, уделяя больше внимания получению подтверждающих документов из нескольких независимых источников.</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3.3.15. Объем доказательств, который необходимо получить в ответ на средние и низкие риски, может быть разным в зависимости от оценки содержания, величины и вероятности возникновения выявленных рисков.</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3.3.16. Взаимосвязь достаточного объема доказательств, который необходимо получить в ходе проведения контрольных процедур, с оценкой риска искажения и величиной элемента (показателя) предмета (статьи отчетности) проверки представлена в следующей таблице.</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tbl>
      <w:tblPr>
        <w:tblStyle w:val="a5"/>
        <w:tblpPr w:leftFromText="180" w:rightFromText="180" w:vertAnchor="text" w:horzAnchor="margin" w:tblpY="-61"/>
        <w:tblW w:w="0" w:type="auto"/>
        <w:tblInd w:w="0" w:type="dxa"/>
        <w:tblLook w:val="04A0" w:firstRow="1" w:lastRow="0" w:firstColumn="1" w:lastColumn="0" w:noHBand="0" w:noVBand="1"/>
      </w:tblPr>
      <w:tblGrid>
        <w:gridCol w:w="4106"/>
        <w:gridCol w:w="2552"/>
        <w:gridCol w:w="2686"/>
      </w:tblGrid>
      <w:tr w:rsidR="00415415" w:rsidTr="00415415">
        <w:tc>
          <w:tcPr>
            <w:tcW w:w="4106" w:type="dxa"/>
            <w:tcBorders>
              <w:top w:val="single" w:sz="4" w:space="0" w:color="auto"/>
              <w:left w:val="single" w:sz="4" w:space="0" w:color="auto"/>
              <w:bottom w:val="single" w:sz="4" w:space="0" w:color="auto"/>
              <w:right w:val="single" w:sz="4" w:space="0" w:color="auto"/>
              <w:tl2br w:val="single" w:sz="4" w:space="0" w:color="auto"/>
            </w:tcBorders>
            <w:vAlign w:val="center"/>
          </w:tcPr>
          <w:p w:rsidR="00415415" w:rsidRDefault="00415415">
            <w:pPr>
              <w:widowControl w:val="0"/>
              <w:autoSpaceDE w:val="0"/>
              <w:autoSpaceDN w:val="0"/>
              <w:ind w:firstLine="709"/>
              <w:jc w:val="right"/>
              <w:rPr>
                <w:rFonts w:ascii="Times New Roman" w:hAnsi="Times New Roman"/>
                <w:sz w:val="28"/>
                <w:szCs w:val="28"/>
                <w:lang w:eastAsia="ru-RU"/>
              </w:rPr>
            </w:pPr>
            <w:r>
              <w:rPr>
                <w:rFonts w:ascii="Times New Roman" w:hAnsi="Times New Roman"/>
                <w:sz w:val="28"/>
                <w:szCs w:val="28"/>
                <w:lang w:eastAsia="ru-RU"/>
              </w:rPr>
              <w:lastRenderedPageBreak/>
              <w:t>Величина элемента</w:t>
            </w:r>
          </w:p>
          <w:p w:rsidR="00415415" w:rsidRDefault="00415415">
            <w:pPr>
              <w:widowControl w:val="0"/>
              <w:autoSpaceDE w:val="0"/>
              <w:autoSpaceDN w:val="0"/>
              <w:ind w:firstLine="709"/>
              <w:jc w:val="right"/>
              <w:rPr>
                <w:rFonts w:ascii="Times New Roman" w:hAnsi="Times New Roman"/>
                <w:sz w:val="28"/>
                <w:szCs w:val="28"/>
                <w:lang w:eastAsia="ru-RU"/>
              </w:rPr>
            </w:pPr>
            <w:r>
              <w:rPr>
                <w:rFonts w:ascii="Times New Roman" w:hAnsi="Times New Roman"/>
                <w:sz w:val="28"/>
                <w:szCs w:val="28"/>
                <w:lang w:eastAsia="ru-RU"/>
              </w:rPr>
              <w:t xml:space="preserve">(показателя) </w:t>
            </w:r>
          </w:p>
          <w:p w:rsidR="00415415" w:rsidRDefault="00415415">
            <w:pPr>
              <w:widowControl w:val="0"/>
              <w:autoSpaceDE w:val="0"/>
              <w:autoSpaceDN w:val="0"/>
              <w:ind w:firstLine="709"/>
              <w:jc w:val="right"/>
              <w:rPr>
                <w:rFonts w:ascii="Times New Roman" w:hAnsi="Times New Roman"/>
                <w:sz w:val="28"/>
                <w:szCs w:val="28"/>
                <w:lang w:eastAsia="ru-RU"/>
              </w:rPr>
            </w:pPr>
            <w:r>
              <w:rPr>
                <w:rFonts w:ascii="Times New Roman" w:hAnsi="Times New Roman"/>
                <w:sz w:val="28"/>
                <w:szCs w:val="28"/>
                <w:lang w:eastAsia="ru-RU"/>
              </w:rPr>
              <w:t xml:space="preserve">предмета </w:t>
            </w:r>
          </w:p>
          <w:p w:rsidR="00415415" w:rsidRDefault="00415415">
            <w:pPr>
              <w:widowControl w:val="0"/>
              <w:autoSpaceDE w:val="0"/>
              <w:autoSpaceDN w:val="0"/>
              <w:ind w:firstLine="709"/>
              <w:jc w:val="right"/>
              <w:rPr>
                <w:rFonts w:ascii="Times New Roman" w:hAnsi="Times New Roman"/>
                <w:sz w:val="28"/>
                <w:szCs w:val="28"/>
                <w:lang w:eastAsia="ru-RU"/>
              </w:rPr>
            </w:pPr>
            <w:r>
              <w:rPr>
                <w:rFonts w:ascii="Times New Roman" w:hAnsi="Times New Roman"/>
                <w:sz w:val="28"/>
                <w:szCs w:val="28"/>
                <w:lang w:eastAsia="ru-RU"/>
              </w:rPr>
              <w:t>проверки</w:t>
            </w:r>
          </w:p>
          <w:p w:rsidR="00415415" w:rsidRDefault="00415415">
            <w:pPr>
              <w:widowControl w:val="0"/>
              <w:autoSpaceDE w:val="0"/>
              <w:autoSpaceDN w:val="0"/>
              <w:ind w:firstLine="709"/>
              <w:jc w:val="right"/>
              <w:rPr>
                <w:rFonts w:ascii="Times New Roman" w:hAnsi="Times New Roman"/>
                <w:sz w:val="28"/>
                <w:szCs w:val="28"/>
                <w:lang w:eastAsia="ru-RU"/>
              </w:rPr>
            </w:pPr>
            <w:r>
              <w:rPr>
                <w:rFonts w:ascii="Times New Roman" w:hAnsi="Times New Roman"/>
                <w:sz w:val="28"/>
                <w:szCs w:val="28"/>
                <w:lang w:eastAsia="ru-RU"/>
              </w:rPr>
              <w:t xml:space="preserve">(статьи </w:t>
            </w:r>
          </w:p>
          <w:p w:rsidR="00415415" w:rsidRDefault="00415415">
            <w:pPr>
              <w:widowControl w:val="0"/>
              <w:autoSpaceDE w:val="0"/>
              <w:autoSpaceDN w:val="0"/>
              <w:ind w:firstLine="709"/>
              <w:jc w:val="right"/>
              <w:rPr>
                <w:rFonts w:ascii="Times New Roman" w:hAnsi="Times New Roman"/>
                <w:sz w:val="28"/>
                <w:szCs w:val="28"/>
                <w:lang w:eastAsia="ru-RU"/>
              </w:rPr>
            </w:pPr>
            <w:r>
              <w:rPr>
                <w:rFonts w:ascii="Times New Roman" w:hAnsi="Times New Roman"/>
                <w:sz w:val="28"/>
                <w:szCs w:val="28"/>
                <w:lang w:eastAsia="ru-RU"/>
              </w:rPr>
              <w:t>отчетности)</w:t>
            </w:r>
          </w:p>
          <w:p w:rsidR="00415415" w:rsidRDefault="00415415">
            <w:pPr>
              <w:widowControl w:val="0"/>
              <w:autoSpaceDE w:val="0"/>
              <w:autoSpaceDN w:val="0"/>
              <w:ind w:firstLine="709"/>
              <w:jc w:val="right"/>
              <w:rPr>
                <w:rFonts w:ascii="Times New Roman" w:hAnsi="Times New Roman"/>
                <w:sz w:val="28"/>
                <w:szCs w:val="28"/>
                <w:lang w:eastAsia="ru-RU"/>
              </w:rPr>
            </w:pPr>
          </w:p>
          <w:p w:rsidR="00415415" w:rsidRDefault="00415415">
            <w:pPr>
              <w:widowControl w:val="0"/>
              <w:autoSpaceDE w:val="0"/>
              <w:autoSpaceDN w:val="0"/>
              <w:ind w:firstLine="709"/>
              <w:jc w:val="right"/>
              <w:rPr>
                <w:rFonts w:ascii="Times New Roman" w:hAnsi="Times New Roman"/>
                <w:sz w:val="28"/>
                <w:szCs w:val="28"/>
                <w:lang w:eastAsia="ru-RU"/>
              </w:rPr>
            </w:pPr>
          </w:p>
          <w:p w:rsidR="00415415" w:rsidRDefault="00415415">
            <w:pPr>
              <w:widowControl w:val="0"/>
              <w:autoSpaceDE w:val="0"/>
              <w:autoSpaceDN w:val="0"/>
              <w:rPr>
                <w:rFonts w:ascii="Times New Roman" w:hAnsi="Times New Roman"/>
                <w:sz w:val="28"/>
                <w:szCs w:val="28"/>
                <w:lang w:eastAsia="ru-RU"/>
              </w:rPr>
            </w:pPr>
            <w:r>
              <w:rPr>
                <w:rFonts w:ascii="Times New Roman" w:hAnsi="Times New Roman"/>
                <w:sz w:val="28"/>
                <w:szCs w:val="28"/>
                <w:lang w:eastAsia="ru-RU"/>
              </w:rPr>
              <w:t>Оценка риска искажения</w:t>
            </w:r>
          </w:p>
        </w:tc>
        <w:tc>
          <w:tcPr>
            <w:tcW w:w="2552"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Выше уровня существенности</w:t>
            </w:r>
          </w:p>
        </w:tc>
        <w:tc>
          <w:tcPr>
            <w:tcW w:w="2686"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Ниже уровня существенности</w:t>
            </w:r>
          </w:p>
        </w:tc>
      </w:tr>
      <w:tr w:rsidR="00415415" w:rsidTr="00415415">
        <w:tc>
          <w:tcPr>
            <w:tcW w:w="4106"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rPr>
                <w:rFonts w:ascii="Times New Roman" w:hAnsi="Times New Roman"/>
                <w:sz w:val="28"/>
                <w:szCs w:val="28"/>
                <w:lang w:eastAsia="ru-RU"/>
              </w:rPr>
            </w:pPr>
            <w:r>
              <w:rPr>
                <w:rFonts w:ascii="Times New Roman" w:hAnsi="Times New Roman"/>
                <w:sz w:val="28"/>
                <w:szCs w:val="28"/>
                <w:lang w:eastAsia="ru-RU"/>
              </w:rPr>
              <w:t>высокий</w:t>
            </w:r>
          </w:p>
        </w:tc>
        <w:tc>
          <w:tcPr>
            <w:tcW w:w="2552"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высокий объем доказательств</w:t>
            </w:r>
          </w:p>
        </w:tc>
        <w:tc>
          <w:tcPr>
            <w:tcW w:w="2686"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низкий объем доказательств</w:t>
            </w:r>
          </w:p>
        </w:tc>
      </w:tr>
      <w:tr w:rsidR="00415415" w:rsidTr="00415415">
        <w:tc>
          <w:tcPr>
            <w:tcW w:w="4106"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rPr>
                <w:rFonts w:ascii="Times New Roman" w:hAnsi="Times New Roman"/>
                <w:sz w:val="28"/>
                <w:szCs w:val="28"/>
                <w:lang w:eastAsia="ru-RU"/>
              </w:rPr>
            </w:pPr>
            <w:r>
              <w:rPr>
                <w:rFonts w:ascii="Times New Roman" w:hAnsi="Times New Roman"/>
                <w:sz w:val="28"/>
                <w:szCs w:val="28"/>
                <w:lang w:eastAsia="ru-RU"/>
              </w:rPr>
              <w:t>средний</w:t>
            </w:r>
          </w:p>
        </w:tc>
        <w:tc>
          <w:tcPr>
            <w:tcW w:w="2552"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средний объем доказательств</w:t>
            </w:r>
          </w:p>
        </w:tc>
        <w:tc>
          <w:tcPr>
            <w:tcW w:w="2686"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низкий объем доказательств</w:t>
            </w:r>
          </w:p>
        </w:tc>
      </w:tr>
      <w:tr w:rsidR="00415415" w:rsidTr="00415415">
        <w:tc>
          <w:tcPr>
            <w:tcW w:w="4106"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rPr>
                <w:rFonts w:ascii="Times New Roman" w:hAnsi="Times New Roman"/>
                <w:sz w:val="28"/>
                <w:szCs w:val="28"/>
                <w:lang w:eastAsia="ru-RU"/>
              </w:rPr>
            </w:pPr>
            <w:r>
              <w:rPr>
                <w:rFonts w:ascii="Times New Roman" w:hAnsi="Times New Roman"/>
                <w:sz w:val="28"/>
                <w:szCs w:val="28"/>
                <w:lang w:eastAsia="ru-RU"/>
              </w:rPr>
              <w:t>низкий</w:t>
            </w:r>
          </w:p>
        </w:tc>
        <w:tc>
          <w:tcPr>
            <w:tcW w:w="2552"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низкий объем доказательств</w:t>
            </w:r>
          </w:p>
        </w:tc>
        <w:tc>
          <w:tcPr>
            <w:tcW w:w="2686" w:type="dxa"/>
            <w:tcBorders>
              <w:top w:val="single" w:sz="4" w:space="0" w:color="auto"/>
              <w:left w:val="single" w:sz="4" w:space="0" w:color="auto"/>
              <w:bottom w:val="single" w:sz="4" w:space="0" w:color="auto"/>
              <w:right w:val="single" w:sz="4" w:space="0" w:color="auto"/>
            </w:tcBorders>
            <w:vAlign w:val="center"/>
            <w:hideMark/>
          </w:tcPr>
          <w:p w:rsidR="00415415" w:rsidRDefault="00415415">
            <w:pPr>
              <w:widowControl w:val="0"/>
              <w:autoSpaceDE w:val="0"/>
              <w:autoSpaceDN w:val="0"/>
              <w:jc w:val="center"/>
              <w:rPr>
                <w:rFonts w:ascii="Times New Roman" w:hAnsi="Times New Roman"/>
                <w:sz w:val="28"/>
                <w:szCs w:val="28"/>
                <w:lang w:eastAsia="ru-RU"/>
              </w:rPr>
            </w:pPr>
            <w:r>
              <w:rPr>
                <w:rFonts w:ascii="Times New Roman" w:hAnsi="Times New Roman"/>
                <w:sz w:val="28"/>
                <w:szCs w:val="28"/>
                <w:lang w:eastAsia="ru-RU"/>
              </w:rPr>
              <w:t>проведение контрольных процедур не обязательно</w:t>
            </w:r>
          </w:p>
        </w:tc>
      </w:tr>
    </w:tbl>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164AC4" w:rsidRDefault="00164AC4" w:rsidP="00A44B2D">
      <w:pPr>
        <w:pStyle w:val="a6"/>
        <w:ind w:left="6372" w:firstLine="708"/>
        <w:rPr>
          <w:rFonts w:ascii="Times New Roman" w:hAnsi="Times New Roman" w:cs="Times New Roman"/>
          <w:b/>
          <w:sz w:val="28"/>
          <w:szCs w:val="28"/>
        </w:rPr>
      </w:pPr>
      <w:bookmarkStart w:id="20" w:name="_Toc182821756"/>
      <w:bookmarkStart w:id="21" w:name="_Toc182821927"/>
      <w:bookmarkStart w:id="22" w:name="_Toc63104292"/>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164AC4" w:rsidRDefault="00164AC4" w:rsidP="00A44B2D">
      <w:pPr>
        <w:pStyle w:val="a6"/>
        <w:ind w:left="6372" w:firstLine="708"/>
        <w:rPr>
          <w:rFonts w:ascii="Times New Roman" w:hAnsi="Times New Roman" w:cs="Times New Roman"/>
          <w:b/>
          <w:sz w:val="28"/>
          <w:szCs w:val="28"/>
        </w:rPr>
      </w:pPr>
    </w:p>
    <w:p w:rsidR="005A7276" w:rsidRDefault="005A7276" w:rsidP="00A44B2D">
      <w:pPr>
        <w:pStyle w:val="a6"/>
        <w:ind w:left="6372" w:firstLine="708"/>
        <w:rPr>
          <w:rFonts w:ascii="Times New Roman" w:hAnsi="Times New Roman" w:cs="Times New Roman"/>
          <w:b/>
          <w:sz w:val="28"/>
          <w:szCs w:val="28"/>
        </w:rPr>
      </w:pPr>
    </w:p>
    <w:p w:rsidR="005A7276" w:rsidRDefault="005A7276" w:rsidP="00A44B2D">
      <w:pPr>
        <w:pStyle w:val="a6"/>
        <w:ind w:left="6372" w:firstLine="708"/>
        <w:rPr>
          <w:rFonts w:ascii="Times New Roman" w:hAnsi="Times New Roman" w:cs="Times New Roman"/>
          <w:b/>
          <w:sz w:val="28"/>
          <w:szCs w:val="28"/>
        </w:rPr>
      </w:pPr>
    </w:p>
    <w:p w:rsidR="005A7276" w:rsidRDefault="005A7276" w:rsidP="00A44B2D">
      <w:pPr>
        <w:pStyle w:val="a6"/>
        <w:ind w:left="6372" w:firstLine="708"/>
        <w:rPr>
          <w:rFonts w:ascii="Times New Roman" w:hAnsi="Times New Roman" w:cs="Times New Roman"/>
          <w:b/>
          <w:sz w:val="28"/>
          <w:szCs w:val="28"/>
        </w:rPr>
      </w:pPr>
    </w:p>
    <w:p w:rsidR="00415415" w:rsidRPr="00A44B2D" w:rsidRDefault="00415415" w:rsidP="00A44B2D">
      <w:pPr>
        <w:pStyle w:val="a6"/>
        <w:ind w:left="6372" w:firstLine="708"/>
        <w:rPr>
          <w:rFonts w:ascii="Times New Roman" w:hAnsi="Times New Roman" w:cs="Times New Roman"/>
          <w:b/>
          <w:sz w:val="28"/>
          <w:szCs w:val="28"/>
        </w:rPr>
      </w:pPr>
      <w:bookmarkStart w:id="23" w:name="_GoBack"/>
      <w:bookmarkEnd w:id="23"/>
      <w:r w:rsidRPr="00A44B2D">
        <w:rPr>
          <w:rFonts w:ascii="Times New Roman" w:hAnsi="Times New Roman" w:cs="Times New Roman"/>
          <w:b/>
          <w:sz w:val="28"/>
          <w:szCs w:val="28"/>
        </w:rPr>
        <w:lastRenderedPageBreak/>
        <w:t>Приложение №1</w:t>
      </w:r>
      <w:bookmarkEnd w:id="20"/>
      <w:bookmarkEnd w:id="21"/>
    </w:p>
    <w:p w:rsidR="00415415" w:rsidRPr="00A44B2D" w:rsidRDefault="00415415" w:rsidP="00A44B2D">
      <w:pPr>
        <w:pStyle w:val="a6"/>
        <w:ind w:left="4956"/>
        <w:rPr>
          <w:rFonts w:ascii="Times New Roman" w:hAnsi="Times New Roman" w:cs="Times New Roman"/>
          <w:b/>
          <w:sz w:val="28"/>
          <w:szCs w:val="28"/>
        </w:rPr>
      </w:pPr>
      <w:bookmarkStart w:id="24" w:name="_Toc182821757"/>
      <w:bookmarkStart w:id="25" w:name="_Toc182821928"/>
      <w:r w:rsidRPr="00A44B2D">
        <w:rPr>
          <w:rFonts w:ascii="Times New Roman" w:hAnsi="Times New Roman" w:cs="Times New Roman"/>
          <w:b/>
          <w:sz w:val="28"/>
          <w:szCs w:val="28"/>
        </w:rPr>
        <w:t>к Методическим рекомендациям</w:t>
      </w:r>
      <w:bookmarkEnd w:id="24"/>
      <w:bookmarkEnd w:id="25"/>
      <w:r w:rsidRPr="00A44B2D">
        <w:rPr>
          <w:rFonts w:ascii="Times New Roman" w:hAnsi="Times New Roman" w:cs="Times New Roman"/>
          <w:b/>
          <w:sz w:val="28"/>
          <w:szCs w:val="28"/>
        </w:rPr>
        <w:t xml:space="preserve"> </w:t>
      </w:r>
    </w:p>
    <w:p w:rsidR="00415415" w:rsidRDefault="00415415" w:rsidP="00415415">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15415" w:rsidRDefault="00227B35" w:rsidP="0041541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415415">
        <w:rPr>
          <w:rFonts w:ascii="Times New Roman" w:eastAsia="Times New Roman" w:hAnsi="Times New Roman" w:cs="Times New Roman"/>
          <w:b/>
          <w:sz w:val="28"/>
          <w:szCs w:val="28"/>
          <w:lang w:eastAsia="ru-RU"/>
        </w:rPr>
        <w:t>Пример оценки существенности</w:t>
      </w:r>
    </w:p>
    <w:p w:rsidR="00415415" w:rsidRDefault="00415415" w:rsidP="0041541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Первоначальный расчет уровня существенности производится при подготовке к контрольному мероприятию после того, как проведено предварительное изучение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Для определения уровня существенности необходимо выполнить следующие шаги:</w:t>
      </w:r>
    </w:p>
    <w:p w:rsidR="009A7DF1"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определить отчетную форму, включающую в себя наиболее полную информацию о финансовом положении и (или) финансовых результатах объекта контроля или о предмете проверки по состоянию на отчетную дату и (или) за проверяемый период, которая будет использоваться для определения подходящего контрольного показателя и его фактического значения.</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Примерами таких форм могут выступать форма 0503130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0503121 «Отчет о финансовых результатах деятельности», форма 0503164 «Сведения об исполнении бюджета», форма 0503127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отсутствия на момент расчета уровня существенности необходимой информации по состоянию на отчетную дату (за отчетный период) для целей определения уровня существенности необходимо использовать соответствующую информацию на прошлую отчетную дату (за прошлый отчетный период) либо на промежуточную отчетную дату внутри отчетного периода (промежуточный период, пропорционально приведенный к годовому измерению). Впоследствии после получения необходимой информации по состоянию на текущую отчетную дату (за отчетный период) расчет уровня существенности необходимо актуализировать;</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определить подходящий контрольный показатель для расчета уровня существенности, основываясь на значимости данного показателя для принятия обоснованных решений пользователями предмета проверки и профессиональном суждении членов рабочей группы. В качестве контрольных показателей могут быть выбраны следующие показатели: итого активы, чистый операционный результат, доходы бюджета/расходы бюджета и др.;</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используя профессиональное суждение, определить уровень риска, присущий объекту контроля в целом: низкий, средний, высокий;</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 определить пороговое значение с учетом уровня риска, присущего объекту контроля в целом, в диапазонах, указанных в пункте 2.2.21. Методических рекомендаций;</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рассчитать величину уровня существенности как произведение величины контрольного показателя и порогового значения.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Пример оценки существенности представлен ниже:</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основании профессионального суждения и опыта членов рабочей группы в качестве отчетной формы, используемой для определения подходящего контрольного показателя и его фактической величины, была выбрана отчетная форма 0503127 «Отчет об исполнении бюджета» за наиболее актуальный по отношению к дате расчета уровня существенности отчетный период.</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изучения информации о специфике деятельности объекта контроля, его первоочередных задачах, а также анализа показателей отчетной формы с точки зрения значимости показателей для принятия обоснованных решений пользователями информации о предмете проверки и величины этих показателей членами рабочей группы был сделан вывод, что подходящим контрольным показателем для расчета существенности является показатель «Расходы бюджета – всего». Фактическое значение данного показателя по состоянию на конец отчетного периода составило 8 480 314,4 тыс. рублей.</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Уровень риска, присущий объекту контроля в целом, был оценен как низкий, так как члены рабочей группы не выявили существенных изменений в отчетных данных по сравнению с аналогичным периодом прошлого года, негативная информация об объекте контроля отсутствует, в ходе проведения контрольных мероприятий в предыдущих отчетных периодах значимые нарушения или искажения не выявлялись, и состояние организации внутреннего финансового контроля объекта контроля было оценено как эффективное.</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соответствии с пунктом 2.2.21. Методических рекомендаций пороговое значение было определено на уровне 3 %.</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Уровень существенности для контрольного мероприятия составил 254 409,4 тыс. рублей (8 480 314,4 * 3 %).</w:t>
      </w:r>
    </w:p>
    <w:p w:rsidR="00415415" w:rsidRDefault="00415415" w:rsidP="004154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существенности в табличной форме представлена ниже.</w:t>
      </w:r>
    </w:p>
    <w:p w:rsidR="00415415" w:rsidRDefault="00415415" w:rsidP="00415415">
      <w:pPr>
        <w:spacing w:after="0" w:line="240" w:lineRule="auto"/>
        <w:ind w:firstLine="709"/>
        <w:jc w:val="both"/>
        <w:rPr>
          <w:rFonts w:ascii="Times New Roman" w:eastAsia="Times New Roman" w:hAnsi="Times New Roman" w:cs="Times New Roman"/>
          <w:sz w:val="28"/>
          <w:szCs w:val="28"/>
        </w:rPr>
      </w:pPr>
    </w:p>
    <w:tbl>
      <w:tblPr>
        <w:tblStyle w:val="a5"/>
        <w:tblW w:w="0" w:type="auto"/>
        <w:tblInd w:w="0" w:type="dxa"/>
        <w:tblLook w:val="04A0" w:firstRow="1" w:lastRow="0" w:firstColumn="1" w:lastColumn="0" w:noHBand="0" w:noVBand="1"/>
      </w:tblPr>
      <w:tblGrid>
        <w:gridCol w:w="5665"/>
        <w:gridCol w:w="3679"/>
      </w:tblGrid>
      <w:tr w:rsidR="00415415" w:rsidTr="00415415">
        <w:tc>
          <w:tcPr>
            <w:tcW w:w="5665" w:type="dxa"/>
            <w:tcBorders>
              <w:top w:val="single" w:sz="4" w:space="0" w:color="auto"/>
              <w:left w:val="single" w:sz="4" w:space="0" w:color="auto"/>
              <w:bottom w:val="single" w:sz="4" w:space="0" w:color="auto"/>
              <w:right w:val="single" w:sz="4" w:space="0" w:color="auto"/>
            </w:tcBorders>
            <w:hideMark/>
          </w:tcPr>
          <w:p w:rsidR="00415415" w:rsidRDefault="00415415">
            <w:pPr>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Наименование контрольного показателя</w:t>
            </w:r>
          </w:p>
        </w:tc>
        <w:tc>
          <w:tcPr>
            <w:tcW w:w="3679" w:type="dxa"/>
            <w:tcBorders>
              <w:top w:val="single" w:sz="4" w:space="0" w:color="auto"/>
              <w:left w:val="single" w:sz="4" w:space="0" w:color="auto"/>
              <w:bottom w:val="single" w:sz="4" w:space="0" w:color="auto"/>
              <w:right w:val="single" w:sz="4" w:space="0" w:color="auto"/>
            </w:tcBorders>
            <w:hideMark/>
          </w:tcPr>
          <w:p w:rsidR="00415415" w:rsidRDefault="00415415">
            <w:pPr>
              <w:jc w:val="cente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«Расходы бюджета – всего»         (форма 0503127)</w:t>
            </w:r>
          </w:p>
        </w:tc>
      </w:tr>
      <w:tr w:rsidR="00415415" w:rsidTr="00415415">
        <w:tc>
          <w:tcPr>
            <w:tcW w:w="5665" w:type="dxa"/>
            <w:tcBorders>
              <w:top w:val="single" w:sz="4" w:space="0" w:color="auto"/>
              <w:left w:val="single" w:sz="4" w:space="0" w:color="auto"/>
              <w:bottom w:val="single" w:sz="4" w:space="0" w:color="auto"/>
              <w:right w:val="single" w:sz="4" w:space="0" w:color="auto"/>
            </w:tcBorders>
            <w:hideMark/>
          </w:tcPr>
          <w:p w:rsidR="00415415" w:rsidRDefault="00415415">
            <w:pPr>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Величина контрольного показателя на конец отчетного периода, тыс. рублей</w:t>
            </w:r>
          </w:p>
        </w:tc>
        <w:tc>
          <w:tcPr>
            <w:tcW w:w="3679" w:type="dxa"/>
            <w:tcBorders>
              <w:top w:val="single" w:sz="4" w:space="0" w:color="auto"/>
              <w:left w:val="single" w:sz="4" w:space="0" w:color="auto"/>
              <w:bottom w:val="single" w:sz="4" w:space="0" w:color="auto"/>
              <w:right w:val="single" w:sz="4" w:space="0" w:color="auto"/>
            </w:tcBorders>
            <w:hideMark/>
          </w:tcPr>
          <w:p w:rsidR="00415415" w:rsidRDefault="00415415">
            <w:pPr>
              <w:jc w:val="cente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8 480 314,4</w:t>
            </w:r>
          </w:p>
        </w:tc>
      </w:tr>
      <w:tr w:rsidR="00415415" w:rsidTr="00415415">
        <w:tc>
          <w:tcPr>
            <w:tcW w:w="5665" w:type="dxa"/>
            <w:tcBorders>
              <w:top w:val="single" w:sz="4" w:space="0" w:color="auto"/>
              <w:left w:val="single" w:sz="4" w:space="0" w:color="auto"/>
              <w:bottom w:val="single" w:sz="4" w:space="0" w:color="auto"/>
              <w:right w:val="single" w:sz="4" w:space="0" w:color="auto"/>
            </w:tcBorders>
            <w:hideMark/>
          </w:tcPr>
          <w:p w:rsidR="00415415" w:rsidRDefault="00415415">
            <w:pPr>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Пороговое значение в % величины контрольного показателя</w:t>
            </w:r>
          </w:p>
        </w:tc>
        <w:tc>
          <w:tcPr>
            <w:tcW w:w="3679" w:type="dxa"/>
            <w:tcBorders>
              <w:top w:val="single" w:sz="4" w:space="0" w:color="auto"/>
              <w:left w:val="single" w:sz="4" w:space="0" w:color="auto"/>
              <w:bottom w:val="single" w:sz="4" w:space="0" w:color="auto"/>
              <w:right w:val="single" w:sz="4" w:space="0" w:color="auto"/>
            </w:tcBorders>
            <w:hideMark/>
          </w:tcPr>
          <w:p w:rsidR="00415415" w:rsidRDefault="00415415">
            <w:pPr>
              <w:jc w:val="cente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3 %</w:t>
            </w:r>
          </w:p>
        </w:tc>
      </w:tr>
      <w:tr w:rsidR="00415415" w:rsidTr="00415415">
        <w:tc>
          <w:tcPr>
            <w:tcW w:w="5665" w:type="dxa"/>
            <w:tcBorders>
              <w:top w:val="single" w:sz="4" w:space="0" w:color="auto"/>
              <w:left w:val="single" w:sz="4" w:space="0" w:color="auto"/>
              <w:bottom w:val="single" w:sz="4" w:space="0" w:color="auto"/>
              <w:right w:val="single" w:sz="4" w:space="0" w:color="auto"/>
            </w:tcBorders>
            <w:hideMark/>
          </w:tcPr>
          <w:p w:rsidR="00415415" w:rsidRDefault="00415415">
            <w:pP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Уровень существенности, тыс. рублей</w:t>
            </w:r>
          </w:p>
        </w:tc>
        <w:tc>
          <w:tcPr>
            <w:tcW w:w="3679" w:type="dxa"/>
            <w:tcBorders>
              <w:top w:val="single" w:sz="4" w:space="0" w:color="auto"/>
              <w:left w:val="single" w:sz="4" w:space="0" w:color="auto"/>
              <w:bottom w:val="single" w:sz="4" w:space="0" w:color="auto"/>
              <w:right w:val="single" w:sz="4" w:space="0" w:color="auto"/>
            </w:tcBorders>
            <w:hideMark/>
          </w:tcPr>
          <w:p w:rsidR="00415415" w:rsidRDefault="00415415">
            <w:pPr>
              <w:jc w:val="center"/>
              <w:rPr>
                <w:rFonts w:ascii="Times New Roman" w:eastAsiaTheme="minorEastAsia" w:hAnsi="Times New Roman"/>
                <w:sz w:val="28"/>
                <w:szCs w:val="28"/>
                <w:lang w:eastAsia="ru-RU"/>
              </w:rPr>
            </w:pPr>
            <w:r>
              <w:rPr>
                <w:rFonts w:ascii="Times New Roman" w:eastAsiaTheme="minorEastAsia" w:hAnsi="Times New Roman"/>
                <w:sz w:val="28"/>
                <w:szCs w:val="28"/>
                <w:lang w:eastAsia="ru-RU"/>
              </w:rPr>
              <w:t>254 409,4</w:t>
            </w:r>
          </w:p>
        </w:tc>
      </w:tr>
    </w:tbl>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15415" w:rsidRDefault="00415415" w:rsidP="00415415">
      <w:pPr>
        <w:spacing w:after="0" w:line="240" w:lineRule="auto"/>
        <w:ind w:firstLine="709"/>
        <w:jc w:val="both"/>
        <w:rPr>
          <w:rFonts w:ascii="Times New Roman" w:eastAsia="Times New Roman" w:hAnsi="Times New Roman" w:cs="Times New Roman"/>
          <w:sz w:val="28"/>
          <w:szCs w:val="28"/>
        </w:rPr>
      </w:pPr>
      <w:bookmarkStart w:id="26" w:name="P191"/>
      <w:bookmarkStart w:id="27" w:name="P257"/>
      <w:bookmarkEnd w:id="26"/>
      <w:bookmarkEnd w:id="27"/>
      <w:r>
        <w:rPr>
          <w:rFonts w:ascii="Times New Roman" w:eastAsia="Times New Roman" w:hAnsi="Times New Roman" w:cs="Times New Roman"/>
          <w:sz w:val="28"/>
          <w:szCs w:val="28"/>
        </w:rPr>
        <w:t xml:space="preserve">Рассчитанный уровень существенности применяется ко всем объектам контрольного мероприятия, проводимого в рамках последующего контроля за </w:t>
      </w:r>
      <w:r>
        <w:rPr>
          <w:rFonts w:ascii="Times New Roman" w:eastAsia="Times New Roman" w:hAnsi="Times New Roman" w:cs="Times New Roman"/>
          <w:sz w:val="28"/>
          <w:szCs w:val="28"/>
        </w:rPr>
        <w:lastRenderedPageBreak/>
        <w:t xml:space="preserve">исполнением местного бюджета, являющимся подведомственными учреждениями для главного администратора средств местного бюджета, в отношении которого по результатам контрольного мероприятия подготавливается соответствующее заключение. </w:t>
      </w:r>
    </w:p>
    <w:p w:rsidR="00415415" w:rsidRDefault="00415415" w:rsidP="00415415">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rPr>
        <w:t>Рассчитанный уровень существенности применяется к каждому элементу (показателю) предмета проверки. Распределение уровня существенности по элементам (показателям) не допускается.</w:t>
      </w:r>
    </w:p>
    <w:p w:rsidR="00415415" w:rsidRDefault="00415415" w:rsidP="0041541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415415" w:rsidRPr="003215D2" w:rsidRDefault="00415415" w:rsidP="003215D2">
      <w:pPr>
        <w:pStyle w:val="a6"/>
        <w:ind w:left="6372" w:firstLine="708"/>
        <w:rPr>
          <w:rFonts w:ascii="Times New Roman" w:hAnsi="Times New Roman" w:cs="Times New Roman"/>
          <w:b/>
          <w:sz w:val="28"/>
          <w:szCs w:val="28"/>
        </w:rPr>
      </w:pPr>
      <w:bookmarkStart w:id="28" w:name="_Toc182821758"/>
      <w:bookmarkStart w:id="29" w:name="_Toc182821929"/>
      <w:r w:rsidRPr="003215D2">
        <w:rPr>
          <w:rFonts w:ascii="Times New Roman" w:hAnsi="Times New Roman" w:cs="Times New Roman"/>
          <w:b/>
          <w:sz w:val="28"/>
          <w:szCs w:val="28"/>
        </w:rPr>
        <w:lastRenderedPageBreak/>
        <w:t xml:space="preserve">Приложение </w:t>
      </w:r>
      <w:bookmarkEnd w:id="22"/>
      <w:r w:rsidRPr="003215D2">
        <w:rPr>
          <w:rFonts w:ascii="Times New Roman" w:hAnsi="Times New Roman" w:cs="Times New Roman"/>
          <w:b/>
          <w:sz w:val="28"/>
          <w:szCs w:val="28"/>
        </w:rPr>
        <w:t>№2</w:t>
      </w:r>
      <w:bookmarkEnd w:id="28"/>
      <w:bookmarkEnd w:id="29"/>
    </w:p>
    <w:p w:rsidR="00415415" w:rsidRPr="003215D2" w:rsidRDefault="00415415" w:rsidP="003215D2">
      <w:pPr>
        <w:pStyle w:val="a6"/>
        <w:ind w:left="4248" w:firstLine="708"/>
        <w:rPr>
          <w:rFonts w:ascii="Times New Roman" w:hAnsi="Times New Roman" w:cs="Times New Roman"/>
          <w:b/>
          <w:sz w:val="28"/>
          <w:szCs w:val="28"/>
        </w:rPr>
      </w:pPr>
      <w:bookmarkStart w:id="30" w:name="_Toc182821759"/>
      <w:bookmarkStart w:id="31" w:name="_Toc182821930"/>
      <w:bookmarkStart w:id="32" w:name="_Toc63104293"/>
      <w:bookmarkStart w:id="33" w:name="_Toc63104131"/>
      <w:r w:rsidRPr="003215D2">
        <w:rPr>
          <w:rFonts w:ascii="Times New Roman" w:hAnsi="Times New Roman" w:cs="Times New Roman"/>
          <w:b/>
          <w:sz w:val="28"/>
          <w:szCs w:val="28"/>
        </w:rPr>
        <w:t>к Методическим рекомендациям</w:t>
      </w:r>
      <w:bookmarkEnd w:id="30"/>
      <w:bookmarkEnd w:id="31"/>
      <w:r w:rsidRPr="003215D2">
        <w:rPr>
          <w:rFonts w:ascii="Times New Roman" w:hAnsi="Times New Roman" w:cs="Times New Roman"/>
          <w:b/>
          <w:sz w:val="28"/>
          <w:szCs w:val="28"/>
        </w:rPr>
        <w:t xml:space="preserve"> </w:t>
      </w:r>
      <w:bookmarkEnd w:id="32"/>
      <w:bookmarkEnd w:id="33"/>
    </w:p>
    <w:p w:rsidR="00415415" w:rsidRPr="003215D2" w:rsidRDefault="00415415" w:rsidP="003215D2">
      <w:pPr>
        <w:pStyle w:val="a6"/>
        <w:rPr>
          <w:rFonts w:ascii="Times New Roman" w:eastAsia="Times New Roman" w:hAnsi="Times New Roman" w:cs="Times New Roman"/>
          <w:b/>
          <w:sz w:val="28"/>
          <w:szCs w:val="28"/>
          <w:lang w:eastAsia="ru-RU"/>
        </w:rPr>
      </w:pPr>
    </w:p>
    <w:p w:rsidR="00415415" w:rsidRDefault="00415415" w:rsidP="00415415">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Алгоритм оценки существенности и рисков</w:t>
      </w:r>
    </w:p>
    <w:p w:rsidR="00415415" w:rsidRDefault="00415415" w:rsidP="00415415">
      <w:pPr>
        <w:widowControl w:val="0"/>
        <w:autoSpaceDE w:val="0"/>
        <w:autoSpaceDN w:val="0"/>
        <w:spacing w:after="0" w:line="240" w:lineRule="auto"/>
        <w:ind w:left="709"/>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t xml:space="preserve">1. Этап подготовки к контрольному мероприятию включает следующие </w:t>
      </w:r>
      <w:r>
        <w:rPr>
          <w:rFonts w:ascii="Times New Roman" w:eastAsia="Times New Roman" w:hAnsi="Times New Roman" w:cs="Times New Roman"/>
          <w:sz w:val="28"/>
          <w:szCs w:val="28"/>
          <w:lang w:eastAsia="ru-RU"/>
        </w:rPr>
        <w:t xml:space="preserve">действия со стороны членов рабочей группы и </w:t>
      </w:r>
      <w:r w:rsidR="00227B35">
        <w:rPr>
          <w:rFonts w:ascii="Times New Roman" w:eastAsia="Times New Roman" w:hAnsi="Times New Roman" w:cs="Times New Roman"/>
          <w:sz w:val="28"/>
          <w:szCs w:val="28"/>
          <w:lang w:eastAsia="ru-RU"/>
        </w:rPr>
        <w:t>руководителя контрольного мероприятия.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Членам рабочей группы и </w:t>
      </w:r>
      <w:r w:rsidR="00227B35">
        <w:rPr>
          <w:rFonts w:ascii="Times New Roman" w:eastAsia="Times New Roman" w:hAnsi="Times New Roman" w:cs="Times New Roman"/>
          <w:sz w:val="28"/>
          <w:szCs w:val="28"/>
          <w:lang w:eastAsia="ru-RU"/>
        </w:rPr>
        <w:t>руководителю контрольного мероприятия п</w:t>
      </w:r>
      <w:r>
        <w:rPr>
          <w:rFonts w:ascii="Times New Roman" w:eastAsia="Times New Roman" w:hAnsi="Times New Roman" w:cs="Times New Roman"/>
          <w:sz w:val="28"/>
          <w:szCs w:val="28"/>
          <w:lang w:eastAsia="ru-RU"/>
        </w:rPr>
        <w:t>ровести предварительное изучение объекта контроля.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w:t>
      </w:r>
      <w:r w:rsidR="00227B35">
        <w:rPr>
          <w:rFonts w:ascii="Times New Roman" w:eastAsia="Times New Roman" w:hAnsi="Times New Roman" w:cs="Times New Roman"/>
          <w:sz w:val="28"/>
          <w:szCs w:val="28"/>
          <w:lang w:eastAsia="ru-RU"/>
        </w:rPr>
        <w:t xml:space="preserve">Руководителю контрольного мероприятия </w:t>
      </w:r>
      <w:r>
        <w:rPr>
          <w:rFonts w:ascii="Times New Roman" w:eastAsia="Times New Roman" w:hAnsi="Times New Roman" w:cs="Times New Roman"/>
          <w:sz w:val="28"/>
          <w:szCs w:val="28"/>
          <w:lang w:eastAsia="ru-RU"/>
        </w:rPr>
        <w:t>определить уровень риска, присущего объекту контроля, на основании профессионального суждения и руководствуясь Методическими рекомендациями.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Членам рабочей группы определить пороговое значение для расчета уровня существенности, основываясь на оцененном уровне риска, присущего объекту контроля, и рекомендуемых диапазонах пороговых значений, представленных в Методических рекомендациях.</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Членам рабочей группы определить контрольный показатель для расчета уровня существенности, основываясь на специфике деятельности объекта контроля, значимости контрольного показателя для пользователей предмета проверки и профессиональном суждении, руководствуясь Методическими рекомендациям.</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Членам рабочей группы рассчитать уровень существенности на основании промежуточных или финальных данных по формуле, приведенной в пункте 2.2.12. Методических рекомендаций.</w:t>
      </w:r>
    </w:p>
    <w:p w:rsidR="001F1F52"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1.6. Членам рабочей группы согласовать расчет уровня существенности с </w:t>
      </w:r>
      <w:r w:rsidR="00227B35">
        <w:rPr>
          <w:rFonts w:ascii="Times New Roman" w:eastAsia="Times New Roman" w:hAnsi="Times New Roman" w:cs="Times New Roman"/>
          <w:sz w:val="28"/>
          <w:szCs w:val="28"/>
          <w:lang w:eastAsia="ru-RU"/>
        </w:rPr>
        <w:t>руководителем контр</w:t>
      </w:r>
      <w:r w:rsidR="001F1F52">
        <w:rPr>
          <w:rFonts w:ascii="Times New Roman" w:eastAsia="Times New Roman" w:hAnsi="Times New Roman" w:cs="Times New Roman"/>
          <w:sz w:val="28"/>
          <w:szCs w:val="28"/>
          <w:lang w:eastAsia="ru-RU"/>
        </w:rPr>
        <w:t xml:space="preserve">ольного мероприятия, </w:t>
      </w:r>
      <w:r>
        <w:rPr>
          <w:rFonts w:ascii="Times New Roman" w:eastAsia="Times New Roman" w:hAnsi="Times New Roman" w:cs="Times New Roman"/>
          <w:sz w:val="28"/>
          <w:szCs w:val="28"/>
          <w:lang w:eastAsia="ru-RU"/>
        </w:rPr>
        <w:t xml:space="preserve">и в случаях, указанных в пунктах 2.2.22. и 2.2.29. Методических рекомендаций, с </w:t>
      </w:r>
      <w:r w:rsidR="004C512E">
        <w:rPr>
          <w:rFonts w:ascii="Times New Roman" w:eastAsia="Times New Roman" w:hAnsi="Times New Roman" w:cs="Times New Roman"/>
          <w:sz w:val="28"/>
          <w:szCs w:val="28"/>
          <w:lang w:eastAsia="ru-RU"/>
        </w:rPr>
        <w:t>к</w:t>
      </w:r>
      <w:r w:rsidR="00164AC4">
        <w:rPr>
          <w:rFonts w:ascii="Times New Roman" w:eastAsia="Times New Roman" w:hAnsi="Times New Roman" w:cs="Times New Roman"/>
          <w:sz w:val="28"/>
          <w:szCs w:val="28"/>
          <w:lang w:eastAsia="ru-RU"/>
        </w:rPr>
        <w:t xml:space="preserve">оллегией </w:t>
      </w:r>
      <w:r w:rsidR="001F1F52">
        <w:rPr>
          <w:rFonts w:ascii="Times New Roman" w:eastAsia="Times New Roman" w:hAnsi="Times New Roman" w:cs="Times New Roman"/>
          <w:sz w:val="28"/>
          <w:szCs w:val="28"/>
          <w:lang w:eastAsia="ru-RU"/>
        </w:rPr>
        <w:t>Контрольно-счетной палаты.</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Членам рабочей группы оценить уровень неотъемлемого риска и риска средств контроля руководствуясь положениями раздела 3 «Оценка рисков» Методических рекомендаций.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 Членам рабочей группы сделать вывод о вероятности и величине рисков искажения.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1.9. Членам рабочей группы оценить уровень риска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основываясь на положениях раздела 3 «Оценка рисков» Методических рекомендаций, и разработать контрольные процедуры в целях снижения риска </w:t>
      </w:r>
      <w:proofErr w:type="spellStart"/>
      <w:r>
        <w:rPr>
          <w:rFonts w:ascii="Times New Roman" w:eastAsia="Times New Roman" w:hAnsi="Times New Roman" w:cs="Times New Roman"/>
          <w:sz w:val="28"/>
          <w:szCs w:val="28"/>
          <w:lang w:eastAsia="ru-RU"/>
        </w:rPr>
        <w:t>необнаружения</w:t>
      </w:r>
      <w:proofErr w:type="spellEnd"/>
      <w:r>
        <w:rPr>
          <w:rFonts w:ascii="Times New Roman" w:eastAsia="Times New Roman" w:hAnsi="Times New Roman" w:cs="Times New Roman"/>
          <w:sz w:val="28"/>
          <w:szCs w:val="28"/>
          <w:lang w:eastAsia="ru-RU"/>
        </w:rPr>
        <w:t xml:space="preserve"> до приемлемого уровня.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1.10. </w:t>
      </w:r>
      <w:r w:rsidR="001F1F52">
        <w:rPr>
          <w:rFonts w:ascii="Times New Roman" w:eastAsia="Times New Roman" w:hAnsi="Times New Roman" w:cs="Times New Roman"/>
          <w:sz w:val="28"/>
          <w:szCs w:val="28"/>
          <w:lang w:eastAsia="ru-RU"/>
        </w:rPr>
        <w:t xml:space="preserve">Руководителю контрольного мероприятия </w:t>
      </w:r>
      <w:r>
        <w:rPr>
          <w:rFonts w:ascii="Times New Roman" w:eastAsia="Times New Roman" w:hAnsi="Times New Roman" w:cs="Times New Roman"/>
          <w:sz w:val="28"/>
          <w:szCs w:val="28"/>
          <w:lang w:eastAsia="ru-RU"/>
        </w:rPr>
        <w:t>определить содержание, объем и сроки проведения контрольных процедур с учетом выявленных рисков и уровня существенности и разработать программу контрольного мероприятия и рабочий план контрольного мероприятия (при необходимости).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1.11. Согласовать расчет уровня существенности и оценку рисков с </w:t>
      </w:r>
      <w:r>
        <w:rPr>
          <w:rFonts w:ascii="Times New Roman" w:eastAsia="Times New Roman" w:hAnsi="Times New Roman" w:cs="Times New Roman"/>
          <w:sz w:val="28"/>
          <w:szCs w:val="28"/>
        </w:rPr>
        <w:t xml:space="preserve">председателем </w:t>
      </w:r>
      <w:r w:rsidR="001F1F52">
        <w:rPr>
          <w:rFonts w:ascii="Times New Roman" w:eastAsia="Times New Roman" w:hAnsi="Times New Roman" w:cs="Times New Roman"/>
          <w:sz w:val="28"/>
          <w:szCs w:val="28"/>
        </w:rPr>
        <w:t xml:space="preserve">Контрольно-счетной палаты, </w:t>
      </w:r>
      <w:r>
        <w:rPr>
          <w:rFonts w:ascii="Times New Roman" w:eastAsia="Times New Roman" w:hAnsi="Times New Roman" w:cs="Times New Roman"/>
          <w:sz w:val="28"/>
          <w:szCs w:val="28"/>
          <w:lang w:eastAsia="ru-RU"/>
        </w:rPr>
        <w:t>в порядке, предусмотренном пунктом 2.2.23. Методических рекомендаций.</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Проведение контрольного мероприятия на объекте контроля включает следующие действия со стороны членов рабочей группы и руководителя контрольного мероприятия</w:t>
      </w:r>
      <w:r w:rsidR="001F1F52">
        <w:rPr>
          <w:rFonts w:ascii="Times New Roman" w:eastAsia="Times New Roman" w:hAnsi="Times New Roman" w:cs="Times New Roman"/>
          <w:sz w:val="28"/>
          <w:szCs w:val="28"/>
          <w:lang w:eastAsia="ru-RU"/>
        </w:rPr>
        <w:t>.</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 При получении доказательств, которые противоречат первоначальным оценкам, сформированным на этапе </w:t>
      </w:r>
      <w:r>
        <w:rPr>
          <w:rFonts w:ascii="Times New Roman" w:eastAsia="Times New Roman" w:hAnsi="Times New Roman" w:cs="Times New Roman"/>
          <w:color w:val="000000" w:themeColor="text1"/>
          <w:sz w:val="28"/>
          <w:szCs w:val="28"/>
          <w:lang w:eastAsia="ru-RU"/>
        </w:rPr>
        <w:t xml:space="preserve">подготовки к контрольному </w:t>
      </w:r>
      <w:r>
        <w:rPr>
          <w:rFonts w:ascii="Times New Roman" w:eastAsia="Times New Roman" w:hAnsi="Times New Roman" w:cs="Times New Roman"/>
          <w:sz w:val="28"/>
          <w:szCs w:val="28"/>
          <w:lang w:eastAsia="ru-RU"/>
        </w:rPr>
        <w:t>мероприятию, членам рабочей группы следует:</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пересчитать уровень существенности с учетом актуализации информации на текущую отчетную дату;</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необходимости пересмотреть оценку рисков с учетом актуализации информации на текущую отчетную дату;</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необходимости пересмотреть содержание и объем контрольных процедур, время и затраты на их проведение на основании профессионального суждения;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согласовать перечисленные изменения с руководителем контрольного мероприятия, если такие изменения носили значимый для контрольного мероприятия характер.</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Членам рабочей группы выполнить контрольные процедуры на основании программы контрольного мероприятия, разработанной в соответствии с подпунктом 1.10. пункта 1</w:t>
      </w:r>
      <w:r w:rsidR="00CF32CF">
        <w:rPr>
          <w:rFonts w:ascii="Times New Roman" w:eastAsia="Times New Roman" w:hAnsi="Times New Roman" w:cs="Times New Roman"/>
          <w:sz w:val="28"/>
          <w:szCs w:val="28"/>
          <w:lang w:eastAsia="ru-RU"/>
        </w:rPr>
        <w:t xml:space="preserve"> настоящего Приложения</w:t>
      </w:r>
      <w:r>
        <w:rPr>
          <w:rFonts w:ascii="Times New Roman" w:eastAsia="Times New Roman" w:hAnsi="Times New Roman" w:cs="Times New Roman"/>
          <w:sz w:val="28"/>
          <w:szCs w:val="28"/>
          <w:lang w:eastAsia="ru-RU"/>
        </w:rPr>
        <w:t>.</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Членам рабочей группы накапливать в ходе контрольного мероприятия все выявленные нарушения (искажения).</w:t>
      </w:r>
    </w:p>
    <w:p w:rsidR="00662F7A"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Этап оформления результатов контрольного мероприятия включает следующие действия со стороны членов рабочей группы и руководителя контрольного мероприятия</w:t>
      </w:r>
      <w:r w:rsidR="00662F7A">
        <w:rPr>
          <w:rFonts w:ascii="Times New Roman" w:eastAsia="Times New Roman" w:hAnsi="Times New Roman" w:cs="Times New Roman"/>
          <w:sz w:val="28"/>
          <w:szCs w:val="28"/>
          <w:lang w:eastAsia="ru-RU"/>
        </w:rPr>
        <w:t>.</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Членам рабочей группы сделать выводы о достаточности и достоверности полученных доказательств для формирования выводов по итогам контрольного мероприятия с учетом необходимости снижения рисков до приемлемого уровня.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В случае если руководитель контрольного мероприятия</w:t>
      </w:r>
      <w:r w:rsidR="00662F7A">
        <w:rPr>
          <w:rFonts w:ascii="Times New Roman" w:eastAsia="Times New Roman" w:hAnsi="Times New Roman" w:cs="Times New Roman"/>
          <w:sz w:val="28"/>
          <w:szCs w:val="28"/>
          <w:lang w:eastAsia="ru-RU"/>
        </w:rPr>
        <w:t xml:space="preserve"> с</w:t>
      </w:r>
      <w:r>
        <w:rPr>
          <w:rFonts w:ascii="Times New Roman" w:eastAsia="Times New Roman" w:hAnsi="Times New Roman" w:cs="Times New Roman"/>
          <w:sz w:val="28"/>
          <w:szCs w:val="28"/>
          <w:lang w:eastAsia="ru-RU"/>
        </w:rPr>
        <w:t>делал вывод, что полученных доказательств недостаточно или полученные доказательства недостоверны, организовать и произвести необходимые действия для получения уверенности, что выявленные риски были снижены до приемлемого уровня. Руководителю контрольного мероприятия</w:t>
      </w:r>
      <w:r w:rsidR="00662F7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следует оценить влияние таких выводов на результаты по итогам контрольного мероприятия.</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 Членам рабочей группы оценить совокупную величину выявленных в ходе проведения контрольного мероприятия </w:t>
      </w:r>
      <w:proofErr w:type="spellStart"/>
      <w:r>
        <w:rPr>
          <w:rFonts w:ascii="Times New Roman" w:eastAsia="Times New Roman" w:hAnsi="Times New Roman" w:cs="Times New Roman"/>
          <w:sz w:val="28"/>
          <w:szCs w:val="28"/>
          <w:lang w:eastAsia="ru-RU"/>
        </w:rPr>
        <w:t>неустраненных</w:t>
      </w:r>
      <w:proofErr w:type="spellEnd"/>
      <w:r>
        <w:rPr>
          <w:rFonts w:ascii="Times New Roman" w:eastAsia="Times New Roman" w:hAnsi="Times New Roman" w:cs="Times New Roman"/>
          <w:sz w:val="28"/>
          <w:szCs w:val="28"/>
          <w:lang w:eastAsia="ru-RU"/>
        </w:rPr>
        <w:t xml:space="preserve"> нарушений (искажений) и сравнить с уровнем существенности.</w:t>
      </w: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 Руководителю контрольного мероприятия</w:t>
      </w:r>
      <w:r w:rsidR="00662F7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сформировать выводы по каждой цели контрольного мероприятия с учетом полученных результатов.</w:t>
      </w:r>
    </w:p>
    <w:p w:rsidR="00415415" w:rsidRDefault="00415415" w:rsidP="0041541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415415" w:rsidRDefault="00415415" w:rsidP="004154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sectPr w:rsidR="00415415" w:rsidSect="00415415">
      <w:headerReference w:type="even" r:id="rId9"/>
      <w:headerReference w:type="default" r:id="rId10"/>
      <w:footerReference w:type="even" r:id="rId11"/>
      <w:footerReference w:type="default" r:id="rId12"/>
      <w:headerReference w:type="first" r:id="rId13"/>
      <w:footerReference w:type="first" r:id="rId14"/>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12E" w:rsidRDefault="004C512E" w:rsidP="001E12EF">
      <w:pPr>
        <w:spacing w:after="0" w:line="240" w:lineRule="auto"/>
      </w:pPr>
      <w:r>
        <w:separator/>
      </w:r>
    </w:p>
  </w:endnote>
  <w:endnote w:type="continuationSeparator" w:id="0">
    <w:p w:rsidR="004C512E" w:rsidRDefault="004C512E" w:rsidP="001E1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12E" w:rsidRDefault="004C512E">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12E" w:rsidRDefault="004C512E">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12E" w:rsidRDefault="004C512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12E" w:rsidRDefault="004C512E" w:rsidP="001E12EF">
      <w:pPr>
        <w:spacing w:after="0" w:line="240" w:lineRule="auto"/>
      </w:pPr>
      <w:r>
        <w:separator/>
      </w:r>
    </w:p>
  </w:footnote>
  <w:footnote w:type="continuationSeparator" w:id="0">
    <w:p w:rsidR="004C512E" w:rsidRDefault="004C512E" w:rsidP="001E12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12E" w:rsidRDefault="004C512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280993"/>
      <w:docPartObj>
        <w:docPartGallery w:val="Page Numbers (Top of Page)"/>
        <w:docPartUnique/>
      </w:docPartObj>
    </w:sdtPr>
    <w:sdtEndPr/>
    <w:sdtContent>
      <w:p w:rsidR="004C512E" w:rsidRDefault="004C512E">
        <w:pPr>
          <w:pStyle w:val="ab"/>
          <w:jc w:val="center"/>
        </w:pPr>
        <w:r>
          <w:fldChar w:fldCharType="begin"/>
        </w:r>
        <w:r>
          <w:instrText>PAGE   \* MERGEFORMAT</w:instrText>
        </w:r>
        <w:r>
          <w:fldChar w:fldCharType="separate"/>
        </w:r>
        <w:r w:rsidR="005A7276">
          <w:rPr>
            <w:noProof/>
          </w:rPr>
          <w:t>22</w:t>
        </w:r>
        <w:r>
          <w:fldChar w:fldCharType="end"/>
        </w:r>
      </w:p>
    </w:sdtContent>
  </w:sdt>
  <w:p w:rsidR="004C512E" w:rsidRDefault="004C512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12E" w:rsidRDefault="004C512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3423B6"/>
    <w:multiLevelType w:val="hybridMultilevel"/>
    <w:tmpl w:val="294E1AA0"/>
    <w:lvl w:ilvl="0" w:tplc="87A2F008">
      <w:start w:val="1"/>
      <w:numFmt w:val="decimal"/>
      <w:lvlText w:val="%1)"/>
      <w:lvlJc w:val="left"/>
      <w:pPr>
        <w:ind w:left="900"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1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C26"/>
    <w:rsid w:val="00014075"/>
    <w:rsid w:val="00092987"/>
    <w:rsid w:val="000D06A6"/>
    <w:rsid w:val="000D7A72"/>
    <w:rsid w:val="00122923"/>
    <w:rsid w:val="0015012B"/>
    <w:rsid w:val="00164AC4"/>
    <w:rsid w:val="001908CC"/>
    <w:rsid w:val="001E12EF"/>
    <w:rsid w:val="001F1F52"/>
    <w:rsid w:val="00224ADD"/>
    <w:rsid w:val="00227B35"/>
    <w:rsid w:val="002D356C"/>
    <w:rsid w:val="003215D2"/>
    <w:rsid w:val="00323141"/>
    <w:rsid w:val="00375256"/>
    <w:rsid w:val="003968C6"/>
    <w:rsid w:val="003E60A7"/>
    <w:rsid w:val="0041227C"/>
    <w:rsid w:val="00415415"/>
    <w:rsid w:val="00442F73"/>
    <w:rsid w:val="004A6485"/>
    <w:rsid w:val="004C512E"/>
    <w:rsid w:val="00502E1E"/>
    <w:rsid w:val="00514AC8"/>
    <w:rsid w:val="005A7276"/>
    <w:rsid w:val="005F775A"/>
    <w:rsid w:val="006458C5"/>
    <w:rsid w:val="00662F7A"/>
    <w:rsid w:val="006C7B89"/>
    <w:rsid w:val="00756CE7"/>
    <w:rsid w:val="00756E02"/>
    <w:rsid w:val="00767552"/>
    <w:rsid w:val="007A00FC"/>
    <w:rsid w:val="00801F70"/>
    <w:rsid w:val="00813514"/>
    <w:rsid w:val="00842ADD"/>
    <w:rsid w:val="008D66AF"/>
    <w:rsid w:val="008D6C5B"/>
    <w:rsid w:val="008E7818"/>
    <w:rsid w:val="0092127A"/>
    <w:rsid w:val="00927E1E"/>
    <w:rsid w:val="009A7DF1"/>
    <w:rsid w:val="009B42AE"/>
    <w:rsid w:val="009E309D"/>
    <w:rsid w:val="00A32C91"/>
    <w:rsid w:val="00A44B2D"/>
    <w:rsid w:val="00A94B07"/>
    <w:rsid w:val="00AB3D55"/>
    <w:rsid w:val="00AB40B0"/>
    <w:rsid w:val="00AB7A11"/>
    <w:rsid w:val="00AD15BF"/>
    <w:rsid w:val="00B15BC6"/>
    <w:rsid w:val="00C36A04"/>
    <w:rsid w:val="00C547D8"/>
    <w:rsid w:val="00C84ED5"/>
    <w:rsid w:val="00C8646B"/>
    <w:rsid w:val="00CF32CF"/>
    <w:rsid w:val="00DD2F22"/>
    <w:rsid w:val="00DF3C26"/>
    <w:rsid w:val="00DF5FAC"/>
    <w:rsid w:val="00E3256C"/>
    <w:rsid w:val="00EB3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968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5415"/>
    <w:pPr>
      <w:spacing w:after="160" w:line="256" w:lineRule="auto"/>
    </w:pPr>
    <w:rPr>
      <w:rFonts w:ascii="Times New Roman" w:hAnsi="Times New Roman" w:cs="Times New Roman"/>
      <w:sz w:val="24"/>
      <w:szCs w:val="24"/>
    </w:rPr>
  </w:style>
  <w:style w:type="character" w:styleId="a4">
    <w:name w:val="annotation reference"/>
    <w:basedOn w:val="a0"/>
    <w:uiPriority w:val="99"/>
    <w:semiHidden/>
    <w:unhideWhenUsed/>
    <w:rsid w:val="00415415"/>
    <w:rPr>
      <w:sz w:val="16"/>
      <w:szCs w:val="16"/>
    </w:rPr>
  </w:style>
  <w:style w:type="table" w:styleId="a5">
    <w:name w:val="Table Grid"/>
    <w:basedOn w:val="a1"/>
    <w:uiPriority w:val="39"/>
    <w:rsid w:val="00415415"/>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415415"/>
    <w:pPr>
      <w:spacing w:after="0" w:line="240" w:lineRule="auto"/>
    </w:pPr>
  </w:style>
  <w:style w:type="character" w:customStyle="1" w:styleId="10">
    <w:name w:val="Заголовок 1 Знак"/>
    <w:basedOn w:val="a0"/>
    <w:link w:val="1"/>
    <w:uiPriority w:val="9"/>
    <w:rsid w:val="003968C6"/>
    <w:rPr>
      <w:rFonts w:asciiTheme="majorHAnsi" w:eastAsiaTheme="majorEastAsia" w:hAnsiTheme="majorHAnsi" w:cstheme="majorBidi"/>
      <w:b/>
      <w:bCs/>
      <w:color w:val="365F91" w:themeColor="accent1" w:themeShade="BF"/>
      <w:sz w:val="28"/>
      <w:szCs w:val="28"/>
    </w:rPr>
  </w:style>
  <w:style w:type="paragraph" w:styleId="a7">
    <w:name w:val="TOC Heading"/>
    <w:basedOn w:val="1"/>
    <w:next w:val="a"/>
    <w:uiPriority w:val="39"/>
    <w:semiHidden/>
    <w:unhideWhenUsed/>
    <w:qFormat/>
    <w:rsid w:val="003968C6"/>
    <w:pPr>
      <w:outlineLvl w:val="9"/>
    </w:pPr>
    <w:rPr>
      <w:lang w:eastAsia="ru-RU"/>
    </w:rPr>
  </w:style>
  <w:style w:type="paragraph" w:styleId="2">
    <w:name w:val="toc 2"/>
    <w:basedOn w:val="a"/>
    <w:next w:val="a"/>
    <w:autoRedefine/>
    <w:uiPriority w:val="39"/>
    <w:unhideWhenUsed/>
    <w:rsid w:val="003968C6"/>
    <w:pPr>
      <w:spacing w:after="100"/>
      <w:ind w:left="220"/>
    </w:pPr>
  </w:style>
  <w:style w:type="paragraph" w:styleId="11">
    <w:name w:val="toc 1"/>
    <w:basedOn w:val="a"/>
    <w:next w:val="a"/>
    <w:autoRedefine/>
    <w:uiPriority w:val="39"/>
    <w:unhideWhenUsed/>
    <w:rsid w:val="003968C6"/>
    <w:pPr>
      <w:spacing w:after="100"/>
    </w:pPr>
  </w:style>
  <w:style w:type="character" w:styleId="a8">
    <w:name w:val="Hyperlink"/>
    <w:basedOn w:val="a0"/>
    <w:uiPriority w:val="99"/>
    <w:unhideWhenUsed/>
    <w:rsid w:val="003968C6"/>
    <w:rPr>
      <w:color w:val="0000FF" w:themeColor="hyperlink"/>
      <w:u w:val="single"/>
    </w:rPr>
  </w:style>
  <w:style w:type="paragraph" w:styleId="a9">
    <w:name w:val="Balloon Text"/>
    <w:basedOn w:val="a"/>
    <w:link w:val="aa"/>
    <w:uiPriority w:val="99"/>
    <w:semiHidden/>
    <w:unhideWhenUsed/>
    <w:rsid w:val="003968C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968C6"/>
    <w:rPr>
      <w:rFonts w:ascii="Tahoma" w:hAnsi="Tahoma" w:cs="Tahoma"/>
      <w:sz w:val="16"/>
      <w:szCs w:val="16"/>
    </w:rPr>
  </w:style>
  <w:style w:type="paragraph" w:styleId="ab">
    <w:name w:val="header"/>
    <w:basedOn w:val="a"/>
    <w:link w:val="ac"/>
    <w:uiPriority w:val="99"/>
    <w:unhideWhenUsed/>
    <w:rsid w:val="001E12E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E12EF"/>
  </w:style>
  <w:style w:type="paragraph" w:styleId="ad">
    <w:name w:val="footer"/>
    <w:basedOn w:val="a"/>
    <w:link w:val="ae"/>
    <w:uiPriority w:val="99"/>
    <w:unhideWhenUsed/>
    <w:rsid w:val="001E12E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E12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968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5415"/>
    <w:pPr>
      <w:spacing w:after="160" w:line="256" w:lineRule="auto"/>
    </w:pPr>
    <w:rPr>
      <w:rFonts w:ascii="Times New Roman" w:hAnsi="Times New Roman" w:cs="Times New Roman"/>
      <w:sz w:val="24"/>
      <w:szCs w:val="24"/>
    </w:rPr>
  </w:style>
  <w:style w:type="character" w:styleId="a4">
    <w:name w:val="annotation reference"/>
    <w:basedOn w:val="a0"/>
    <w:uiPriority w:val="99"/>
    <w:semiHidden/>
    <w:unhideWhenUsed/>
    <w:rsid w:val="00415415"/>
    <w:rPr>
      <w:sz w:val="16"/>
      <w:szCs w:val="16"/>
    </w:rPr>
  </w:style>
  <w:style w:type="table" w:styleId="a5">
    <w:name w:val="Table Grid"/>
    <w:basedOn w:val="a1"/>
    <w:uiPriority w:val="39"/>
    <w:rsid w:val="00415415"/>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415415"/>
    <w:pPr>
      <w:spacing w:after="0" w:line="240" w:lineRule="auto"/>
    </w:pPr>
  </w:style>
  <w:style w:type="character" w:customStyle="1" w:styleId="10">
    <w:name w:val="Заголовок 1 Знак"/>
    <w:basedOn w:val="a0"/>
    <w:link w:val="1"/>
    <w:uiPriority w:val="9"/>
    <w:rsid w:val="003968C6"/>
    <w:rPr>
      <w:rFonts w:asciiTheme="majorHAnsi" w:eastAsiaTheme="majorEastAsia" w:hAnsiTheme="majorHAnsi" w:cstheme="majorBidi"/>
      <w:b/>
      <w:bCs/>
      <w:color w:val="365F91" w:themeColor="accent1" w:themeShade="BF"/>
      <w:sz w:val="28"/>
      <w:szCs w:val="28"/>
    </w:rPr>
  </w:style>
  <w:style w:type="paragraph" w:styleId="a7">
    <w:name w:val="TOC Heading"/>
    <w:basedOn w:val="1"/>
    <w:next w:val="a"/>
    <w:uiPriority w:val="39"/>
    <w:semiHidden/>
    <w:unhideWhenUsed/>
    <w:qFormat/>
    <w:rsid w:val="003968C6"/>
    <w:pPr>
      <w:outlineLvl w:val="9"/>
    </w:pPr>
    <w:rPr>
      <w:lang w:eastAsia="ru-RU"/>
    </w:rPr>
  </w:style>
  <w:style w:type="paragraph" w:styleId="2">
    <w:name w:val="toc 2"/>
    <w:basedOn w:val="a"/>
    <w:next w:val="a"/>
    <w:autoRedefine/>
    <w:uiPriority w:val="39"/>
    <w:unhideWhenUsed/>
    <w:rsid w:val="003968C6"/>
    <w:pPr>
      <w:spacing w:after="100"/>
      <w:ind w:left="220"/>
    </w:pPr>
  </w:style>
  <w:style w:type="paragraph" w:styleId="11">
    <w:name w:val="toc 1"/>
    <w:basedOn w:val="a"/>
    <w:next w:val="a"/>
    <w:autoRedefine/>
    <w:uiPriority w:val="39"/>
    <w:unhideWhenUsed/>
    <w:rsid w:val="003968C6"/>
    <w:pPr>
      <w:spacing w:after="100"/>
    </w:pPr>
  </w:style>
  <w:style w:type="character" w:styleId="a8">
    <w:name w:val="Hyperlink"/>
    <w:basedOn w:val="a0"/>
    <w:uiPriority w:val="99"/>
    <w:unhideWhenUsed/>
    <w:rsid w:val="003968C6"/>
    <w:rPr>
      <w:color w:val="0000FF" w:themeColor="hyperlink"/>
      <w:u w:val="single"/>
    </w:rPr>
  </w:style>
  <w:style w:type="paragraph" w:styleId="a9">
    <w:name w:val="Balloon Text"/>
    <w:basedOn w:val="a"/>
    <w:link w:val="aa"/>
    <w:uiPriority w:val="99"/>
    <w:semiHidden/>
    <w:unhideWhenUsed/>
    <w:rsid w:val="003968C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968C6"/>
    <w:rPr>
      <w:rFonts w:ascii="Tahoma" w:hAnsi="Tahoma" w:cs="Tahoma"/>
      <w:sz w:val="16"/>
      <w:szCs w:val="16"/>
    </w:rPr>
  </w:style>
  <w:style w:type="paragraph" w:styleId="ab">
    <w:name w:val="header"/>
    <w:basedOn w:val="a"/>
    <w:link w:val="ac"/>
    <w:uiPriority w:val="99"/>
    <w:unhideWhenUsed/>
    <w:rsid w:val="001E12E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E12EF"/>
  </w:style>
  <w:style w:type="paragraph" w:styleId="ad">
    <w:name w:val="footer"/>
    <w:basedOn w:val="a"/>
    <w:link w:val="ae"/>
    <w:uiPriority w:val="99"/>
    <w:unhideWhenUsed/>
    <w:rsid w:val="001E12E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E1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414180">
      <w:bodyDiv w:val="1"/>
      <w:marLeft w:val="0"/>
      <w:marRight w:val="0"/>
      <w:marTop w:val="0"/>
      <w:marBottom w:val="0"/>
      <w:divBdr>
        <w:top w:val="none" w:sz="0" w:space="0" w:color="auto"/>
        <w:left w:val="none" w:sz="0" w:space="0" w:color="auto"/>
        <w:bottom w:val="none" w:sz="0" w:space="0" w:color="auto"/>
        <w:right w:val="none" w:sz="0" w:space="0" w:color="auto"/>
      </w:divBdr>
    </w:div>
    <w:div w:id="118351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5329B-E6B7-440E-924E-63220C9F9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8179</Words>
  <Characters>46623</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ksp6</dc:creator>
  <cp:keywords/>
  <dc:description/>
  <cp:lastModifiedBy>ksp6</cp:lastModifiedBy>
  <cp:revision>50</cp:revision>
  <cp:lastPrinted>2024-11-22T09:36:00Z</cp:lastPrinted>
  <dcterms:created xsi:type="dcterms:W3CDTF">2024-11-14T14:09:00Z</dcterms:created>
  <dcterms:modified xsi:type="dcterms:W3CDTF">2024-12-20T07:56:00Z</dcterms:modified>
</cp:coreProperties>
</file>